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rPr>
          <w:rFonts w:hint="eastAsia"/>
          <w:b/>
          <w:sz w:val="52"/>
          <w:szCs w:val="52"/>
        </w:rPr>
      </w:pPr>
    </w:p>
    <w:p>
      <w:pPr>
        <w:autoSpaceDE w:val="0"/>
        <w:autoSpaceDN w:val="0"/>
        <w:adjustRightInd w:val="0"/>
        <w:snapToGrid w:val="0"/>
        <w:spacing w:line="300" w:lineRule="auto"/>
        <w:jc w:val="center"/>
        <w:rPr>
          <w:rFonts w:hint="eastAsia" w:ascii="宋体" w:cs="宋体"/>
          <w:b/>
          <w:bCs/>
          <w:color w:val="000000"/>
          <w:spacing w:val="20"/>
          <w:kern w:val="0"/>
          <w:sz w:val="56"/>
          <w:szCs w:val="56"/>
        </w:rPr>
      </w:pPr>
      <w:r>
        <w:rPr>
          <w:rFonts w:hint="eastAsia" w:ascii="宋体" w:cs="宋体"/>
          <w:b/>
          <w:bCs/>
          <w:color w:val="000000"/>
          <w:spacing w:val="20"/>
          <w:kern w:val="0"/>
          <w:sz w:val="44"/>
          <w:szCs w:val="44"/>
        </w:rPr>
        <w:t>阜阳工业经济学校</w:t>
      </w:r>
    </w:p>
    <w:p>
      <w:pPr>
        <w:autoSpaceDE w:val="0"/>
        <w:autoSpaceDN w:val="0"/>
        <w:adjustRightInd w:val="0"/>
        <w:snapToGrid w:val="0"/>
        <w:spacing w:line="300" w:lineRule="auto"/>
        <w:jc w:val="center"/>
        <w:rPr>
          <w:rFonts w:hint="eastAsia" w:ascii="宋体" w:cs="宋体"/>
          <w:b/>
          <w:bCs/>
          <w:color w:val="000000"/>
          <w:spacing w:val="20"/>
          <w:kern w:val="0"/>
          <w:sz w:val="44"/>
          <w:szCs w:val="44"/>
        </w:rPr>
      </w:pPr>
      <w:r>
        <w:rPr>
          <w:rFonts w:hint="eastAsia" w:ascii="宋体" w:cs="宋体"/>
          <w:b/>
          <w:bCs/>
          <w:color w:val="000000"/>
          <w:spacing w:val="20"/>
          <w:kern w:val="0"/>
          <w:sz w:val="44"/>
          <w:szCs w:val="44"/>
          <w:lang w:eastAsia="zh-CN"/>
        </w:rPr>
        <w:t>窗帘、椅套、桌套采购项目</w:t>
      </w:r>
    </w:p>
    <w:p>
      <w:pPr>
        <w:autoSpaceDE w:val="0"/>
        <w:autoSpaceDN w:val="0"/>
        <w:adjustRightInd w:val="0"/>
        <w:snapToGrid w:val="0"/>
        <w:spacing w:line="300" w:lineRule="auto"/>
        <w:jc w:val="center"/>
        <w:rPr>
          <w:rFonts w:hint="eastAsia" w:ascii="宋体" w:cs="宋体"/>
          <w:b/>
          <w:bCs/>
          <w:color w:val="000000"/>
          <w:spacing w:val="20"/>
          <w:kern w:val="0"/>
          <w:sz w:val="72"/>
          <w:szCs w:val="72"/>
        </w:rPr>
      </w:pPr>
    </w:p>
    <w:p>
      <w:pPr>
        <w:autoSpaceDE w:val="0"/>
        <w:autoSpaceDN w:val="0"/>
        <w:adjustRightInd w:val="0"/>
        <w:snapToGrid w:val="0"/>
        <w:spacing w:line="300" w:lineRule="auto"/>
        <w:jc w:val="center"/>
        <w:rPr>
          <w:rFonts w:hint="eastAsia" w:ascii="宋体"/>
          <w:b/>
          <w:bCs/>
          <w:color w:val="000000"/>
          <w:spacing w:val="20"/>
          <w:kern w:val="0"/>
          <w:sz w:val="72"/>
          <w:szCs w:val="72"/>
        </w:rPr>
      </w:pPr>
      <w:r>
        <w:rPr>
          <w:rFonts w:hint="eastAsia" w:ascii="宋体" w:cs="宋体"/>
          <w:b/>
          <w:bCs/>
          <w:color w:val="000000"/>
          <w:spacing w:val="20"/>
          <w:kern w:val="0"/>
          <w:sz w:val="72"/>
          <w:szCs w:val="72"/>
        </w:rPr>
        <w:t>竞争性谈判文件</w:t>
      </w:r>
    </w:p>
    <w:p>
      <w:pPr>
        <w:autoSpaceDE w:val="0"/>
        <w:autoSpaceDN w:val="0"/>
        <w:adjustRightInd w:val="0"/>
        <w:snapToGrid w:val="0"/>
        <w:spacing w:line="300" w:lineRule="auto"/>
        <w:ind w:firstLine="863" w:firstLineChars="344"/>
        <w:rPr>
          <w:rFonts w:hint="eastAsia" w:ascii="宋体"/>
          <w:b/>
          <w:bCs/>
          <w:color w:val="000000"/>
          <w:spacing w:val="20"/>
          <w:kern w:val="0"/>
        </w:rPr>
      </w:pPr>
    </w:p>
    <w:p>
      <w:pPr>
        <w:wordWrap w:val="0"/>
        <w:ind w:firstLine="2408" w:firstLineChars="600"/>
        <w:rPr>
          <w:rFonts w:hint="default" w:ascii="微软雅黑" w:hAnsi="微软雅黑" w:eastAsia="宋体" w:cs="宋体"/>
          <w:color w:val="333333"/>
          <w:kern w:val="0"/>
          <w:sz w:val="24"/>
          <w:szCs w:val="24"/>
          <w:lang w:val="en-US" w:eastAsia="zh-CN"/>
        </w:rPr>
      </w:pPr>
      <w:r>
        <w:rPr>
          <w:rFonts w:hint="eastAsia" w:ascii="宋体" w:cs="宋体"/>
          <w:b/>
          <w:bCs/>
          <w:color w:val="000000"/>
          <w:spacing w:val="20"/>
          <w:kern w:val="0"/>
          <w:sz w:val="36"/>
          <w:szCs w:val="36"/>
        </w:rPr>
        <w:t>项目编号：</w:t>
      </w:r>
      <w:r>
        <w:rPr>
          <w:rFonts w:hint="eastAsia" w:ascii="宋体" w:cs="宋体"/>
          <w:b/>
          <w:bCs/>
          <w:color w:val="000000"/>
          <w:spacing w:val="20"/>
          <w:kern w:val="0"/>
          <w:sz w:val="36"/>
          <w:szCs w:val="36"/>
          <w:lang w:val="en-US" w:eastAsia="zh-CN"/>
        </w:rPr>
        <w:t>2023034</w:t>
      </w:r>
    </w:p>
    <w:p>
      <w:pPr>
        <w:autoSpaceDE w:val="0"/>
        <w:autoSpaceDN w:val="0"/>
        <w:adjustRightInd w:val="0"/>
        <w:snapToGrid w:val="0"/>
        <w:spacing w:line="360" w:lineRule="auto"/>
        <w:jc w:val="center"/>
        <w:rPr>
          <w:rFonts w:hint="eastAsia" w:ascii="宋体" w:cs="宋体"/>
          <w:b/>
          <w:bCs/>
          <w:color w:val="000000"/>
          <w:spacing w:val="20"/>
          <w:kern w:val="0"/>
          <w:sz w:val="28"/>
          <w:szCs w:val="28"/>
        </w:rPr>
      </w:pPr>
      <w:r>
        <w:rPr>
          <w:rFonts w:hint="eastAsia" w:ascii="宋体" w:cs="宋体"/>
          <w:b/>
          <w:bCs/>
          <w:color w:val="000000"/>
          <w:spacing w:val="20"/>
          <w:kern w:val="0"/>
          <w:sz w:val="28"/>
          <w:szCs w:val="28"/>
        </w:rPr>
        <w:t>　</w:t>
      </w:r>
    </w:p>
    <w:p>
      <w:pPr>
        <w:rPr>
          <w:rFonts w:ascii="宋体"/>
          <w:b/>
          <w:bCs/>
          <w:color w:val="000000"/>
          <w:sz w:val="32"/>
          <w:szCs w:val="32"/>
        </w:rPr>
      </w:pPr>
    </w:p>
    <w:p>
      <w:pPr>
        <w:rPr>
          <w:rFonts w:ascii="宋体"/>
          <w:b/>
          <w:bCs/>
          <w:color w:val="000000"/>
          <w:sz w:val="32"/>
          <w:szCs w:val="32"/>
        </w:rPr>
      </w:pPr>
    </w:p>
    <w:p>
      <w:pPr>
        <w:rPr>
          <w:rFonts w:ascii="宋体"/>
          <w:b/>
          <w:bCs/>
          <w:color w:val="000000"/>
          <w:sz w:val="32"/>
          <w:szCs w:val="32"/>
        </w:rPr>
      </w:pPr>
    </w:p>
    <w:p>
      <w:pPr>
        <w:rPr>
          <w:rFonts w:ascii="宋体"/>
          <w:b/>
          <w:bCs/>
          <w:color w:val="000000"/>
          <w:sz w:val="32"/>
          <w:szCs w:val="32"/>
        </w:rPr>
      </w:pPr>
    </w:p>
    <w:p>
      <w:pPr>
        <w:rPr>
          <w:rFonts w:hint="eastAsia" w:ascii="宋体"/>
          <w:b/>
          <w:bCs/>
          <w:color w:val="000000"/>
          <w:sz w:val="32"/>
          <w:szCs w:val="32"/>
        </w:rPr>
      </w:pPr>
    </w:p>
    <w:p>
      <w:pPr>
        <w:rPr>
          <w:rFonts w:ascii="宋体"/>
          <w:b/>
          <w:bCs/>
          <w:color w:val="000000"/>
          <w:sz w:val="32"/>
          <w:szCs w:val="32"/>
        </w:rPr>
      </w:pPr>
    </w:p>
    <w:p>
      <w:pPr>
        <w:rPr>
          <w:rFonts w:hint="eastAsia" w:ascii="宋体"/>
          <w:b/>
          <w:bCs/>
          <w:color w:val="000000"/>
          <w:sz w:val="32"/>
          <w:szCs w:val="32"/>
        </w:rPr>
      </w:pPr>
    </w:p>
    <w:p>
      <w:pPr>
        <w:rPr>
          <w:rFonts w:hint="eastAsia" w:ascii="宋体"/>
          <w:b/>
          <w:bCs/>
          <w:color w:val="000000"/>
          <w:sz w:val="32"/>
          <w:szCs w:val="32"/>
        </w:rPr>
      </w:pPr>
    </w:p>
    <w:p>
      <w:pPr>
        <w:rPr>
          <w:rFonts w:hint="eastAsia" w:ascii="宋体"/>
          <w:b/>
          <w:bCs/>
          <w:color w:val="000000"/>
          <w:sz w:val="32"/>
          <w:szCs w:val="32"/>
        </w:rPr>
      </w:pPr>
    </w:p>
    <w:p>
      <w:pPr>
        <w:jc w:val="center"/>
        <w:rPr>
          <w:rFonts w:hint="eastAsia" w:ascii="宋体" w:eastAsia="宋体" w:cs="宋体"/>
          <w:b/>
          <w:bCs/>
          <w:color w:val="000000"/>
          <w:sz w:val="32"/>
          <w:szCs w:val="32"/>
          <w:lang w:val="en-US" w:eastAsia="zh-CN"/>
        </w:rPr>
      </w:pPr>
      <w:r>
        <w:rPr>
          <w:rFonts w:hint="eastAsia" w:ascii="宋体" w:cs="宋体"/>
          <w:b/>
          <w:bCs/>
          <w:color w:val="000000"/>
          <w:sz w:val="32"/>
          <w:szCs w:val="32"/>
          <w:lang w:eastAsia="zh-CN"/>
        </w:rPr>
        <w:t>需求科室</w:t>
      </w:r>
      <w:r>
        <w:rPr>
          <w:rFonts w:hint="eastAsia" w:ascii="宋体" w:cs="宋体"/>
          <w:b/>
          <w:bCs/>
          <w:color w:val="000000"/>
          <w:sz w:val="32"/>
          <w:szCs w:val="32"/>
        </w:rPr>
        <w:t>：阜阳</w:t>
      </w:r>
      <w:r>
        <w:rPr>
          <w:rFonts w:hint="eastAsia" w:ascii="宋体" w:cs="宋体"/>
          <w:b/>
          <w:bCs/>
          <w:color w:val="000000"/>
          <w:sz w:val="32"/>
          <w:szCs w:val="32"/>
          <w:lang w:eastAsia="zh-CN"/>
        </w:rPr>
        <w:t>工业经济学校</w:t>
      </w:r>
      <w:r>
        <w:rPr>
          <w:rFonts w:hint="eastAsia" w:ascii="宋体" w:cs="宋体"/>
          <w:b/>
          <w:bCs/>
          <w:color w:val="000000"/>
          <w:sz w:val="32"/>
          <w:szCs w:val="32"/>
          <w:lang w:val="en-US" w:eastAsia="zh-CN"/>
        </w:rPr>
        <w:t>成教科</w:t>
      </w:r>
    </w:p>
    <w:p>
      <w:pPr>
        <w:rPr>
          <w:rFonts w:cs="宋体"/>
          <w:b/>
          <w:bCs/>
          <w:color w:val="000000"/>
          <w:sz w:val="32"/>
          <w:szCs w:val="32"/>
        </w:rPr>
      </w:pPr>
      <w:r>
        <w:rPr>
          <w:rFonts w:hint="eastAsia" w:ascii="宋体" w:cs="宋体"/>
          <w:b/>
          <w:bCs/>
          <w:color w:val="000000"/>
          <w:sz w:val="32"/>
          <w:szCs w:val="32"/>
        </w:rPr>
        <w:t xml:space="preserve">               编制时间：</w:t>
      </w:r>
      <w:r>
        <w:rPr>
          <w:rFonts w:ascii="宋体" w:cs="宋体"/>
          <w:b/>
          <w:bCs/>
          <w:color w:val="000000"/>
          <w:sz w:val="32"/>
          <w:szCs w:val="32"/>
          <w:u w:val="single"/>
        </w:rPr>
        <w:t xml:space="preserve"> </w:t>
      </w:r>
      <w:r>
        <w:rPr>
          <w:rFonts w:hint="eastAsia" w:ascii="宋体" w:cs="宋体"/>
          <w:b/>
          <w:bCs/>
          <w:color w:val="000000"/>
          <w:sz w:val="32"/>
          <w:szCs w:val="32"/>
          <w:u w:val="single"/>
        </w:rPr>
        <w:t>20</w:t>
      </w:r>
      <w:r>
        <w:rPr>
          <w:rFonts w:hint="eastAsia" w:ascii="宋体" w:cs="宋体"/>
          <w:b/>
          <w:bCs/>
          <w:color w:val="000000"/>
          <w:sz w:val="32"/>
          <w:szCs w:val="32"/>
          <w:u w:val="single"/>
          <w:lang w:val="en-US" w:eastAsia="zh-CN"/>
        </w:rPr>
        <w:t>23</w:t>
      </w:r>
      <w:r>
        <w:rPr>
          <w:rFonts w:ascii="宋体" w:cs="宋体"/>
          <w:b/>
          <w:bCs/>
          <w:color w:val="000000"/>
          <w:sz w:val="32"/>
          <w:szCs w:val="32"/>
          <w:u w:val="single"/>
        </w:rPr>
        <w:t xml:space="preserve"> </w:t>
      </w:r>
      <w:r>
        <w:rPr>
          <w:rFonts w:hint="eastAsia" w:ascii="宋体" w:cs="宋体"/>
          <w:b/>
          <w:bCs/>
          <w:color w:val="000000"/>
          <w:sz w:val="32"/>
          <w:szCs w:val="32"/>
        </w:rPr>
        <w:t>年</w:t>
      </w:r>
      <w:r>
        <w:rPr>
          <w:rFonts w:hint="eastAsia" w:ascii="宋体" w:cs="宋体"/>
          <w:b/>
          <w:bCs/>
          <w:color w:val="000000"/>
          <w:sz w:val="32"/>
          <w:szCs w:val="32"/>
          <w:u w:val="single"/>
        </w:rPr>
        <w:t xml:space="preserve"> </w:t>
      </w:r>
      <w:r>
        <w:rPr>
          <w:rFonts w:hint="eastAsia" w:ascii="宋体" w:cs="宋体"/>
          <w:b/>
          <w:bCs/>
          <w:color w:val="000000"/>
          <w:sz w:val="32"/>
          <w:szCs w:val="32"/>
          <w:u w:val="single"/>
          <w:lang w:val="en-US" w:eastAsia="zh-CN"/>
        </w:rPr>
        <w:t>6</w:t>
      </w:r>
      <w:r>
        <w:rPr>
          <w:rFonts w:hint="eastAsia" w:ascii="宋体" w:cs="宋体"/>
          <w:b/>
          <w:bCs/>
          <w:color w:val="000000"/>
          <w:sz w:val="32"/>
          <w:szCs w:val="32"/>
        </w:rPr>
        <w:t>月</w:t>
      </w:r>
    </w:p>
    <w:p>
      <w:pPr>
        <w:jc w:val="center"/>
        <w:rPr>
          <w:rFonts w:hint="eastAsia" w:ascii="宋体" w:cs="宋体"/>
          <w:b/>
          <w:bCs/>
          <w:sz w:val="44"/>
          <w:szCs w:val="44"/>
        </w:rPr>
      </w:pPr>
    </w:p>
    <w:p>
      <w:pPr>
        <w:jc w:val="center"/>
        <w:rPr>
          <w:rFonts w:hint="eastAsia" w:ascii="宋体" w:cs="宋体"/>
          <w:b/>
          <w:bCs/>
          <w:sz w:val="44"/>
          <w:szCs w:val="44"/>
        </w:rPr>
      </w:pPr>
    </w:p>
    <w:p>
      <w:pPr>
        <w:jc w:val="center"/>
        <w:rPr>
          <w:rFonts w:hint="eastAsia" w:ascii="宋体" w:cs="宋体"/>
          <w:b/>
          <w:bCs/>
          <w:sz w:val="44"/>
          <w:szCs w:val="44"/>
        </w:rPr>
      </w:pPr>
    </w:p>
    <w:p>
      <w:pPr>
        <w:jc w:val="center"/>
        <w:rPr>
          <w:rFonts w:ascii="宋体"/>
          <w:b/>
          <w:bCs/>
          <w:sz w:val="44"/>
          <w:szCs w:val="44"/>
        </w:rPr>
      </w:pPr>
      <w:r>
        <w:rPr>
          <w:rFonts w:hint="eastAsia" w:ascii="宋体" w:cs="宋体"/>
          <w:b/>
          <w:bCs/>
          <w:sz w:val="44"/>
          <w:szCs w:val="44"/>
        </w:rPr>
        <w:t>目</w:t>
      </w:r>
      <w:r>
        <w:rPr>
          <w:rFonts w:ascii="宋体" w:cs="宋体"/>
          <w:b/>
          <w:bCs/>
          <w:sz w:val="44"/>
          <w:szCs w:val="44"/>
        </w:rPr>
        <w:t xml:space="preserve">    </w:t>
      </w:r>
      <w:r>
        <w:rPr>
          <w:rFonts w:hint="eastAsia" w:ascii="宋体" w:cs="宋体"/>
          <w:b/>
          <w:bCs/>
          <w:sz w:val="44"/>
          <w:szCs w:val="44"/>
        </w:rPr>
        <w:t>录</w:t>
      </w:r>
    </w:p>
    <w:p>
      <w:pPr>
        <w:pStyle w:val="19"/>
        <w:tabs>
          <w:tab w:val="right" w:leader="dot" w:pos="8777"/>
        </w:tabs>
        <w:spacing w:line="480" w:lineRule="auto"/>
        <w:rPr>
          <w:rFonts w:hint="eastAsia" w:ascii="宋体" w:hAnsi="宋体"/>
          <w:b/>
          <w:sz w:val="28"/>
          <w:szCs w:val="28"/>
        </w:rPr>
      </w:pPr>
      <w:r>
        <w:rPr>
          <w:rFonts w:ascii="宋体" w:hAnsi="宋体" w:cs="宋体"/>
          <w:b/>
          <w:sz w:val="28"/>
          <w:szCs w:val="28"/>
        </w:rPr>
        <w:fldChar w:fldCharType="begin"/>
      </w:r>
      <w:r>
        <w:rPr>
          <w:rFonts w:ascii="宋体" w:hAnsi="宋体" w:cs="宋体"/>
          <w:b/>
          <w:sz w:val="28"/>
          <w:szCs w:val="28"/>
        </w:rPr>
        <w:instrText xml:space="preserve">TOC \o "1-3" \h \u </w:instrText>
      </w:r>
      <w:r>
        <w:rPr>
          <w:rFonts w:ascii="宋体" w:hAnsi="宋体" w:cs="宋体"/>
          <w:b/>
          <w:sz w:val="28"/>
          <w:szCs w:val="28"/>
        </w:rPr>
        <w:fldChar w:fldCharType="separate"/>
      </w:r>
      <w:r>
        <w:rPr>
          <w:rFonts w:ascii="宋体" w:hAnsi="宋体"/>
          <w:b/>
          <w:sz w:val="28"/>
          <w:szCs w:val="28"/>
        </w:rPr>
        <w:fldChar w:fldCharType="begin"/>
      </w:r>
      <w:r>
        <w:rPr>
          <w:rStyle w:val="39"/>
          <w:rFonts w:ascii="宋体" w:hAnsi="宋体"/>
          <w:b/>
          <w:sz w:val="28"/>
          <w:szCs w:val="28"/>
        </w:rPr>
        <w:instrText xml:space="preserve"> </w:instrText>
      </w:r>
      <w:r>
        <w:rPr>
          <w:rFonts w:ascii="宋体" w:hAnsi="宋体"/>
          <w:b/>
          <w:sz w:val="28"/>
          <w:szCs w:val="28"/>
        </w:rPr>
        <w:instrText xml:space="preserve">HYPERLINK \l "_Toc465933777"</w:instrText>
      </w:r>
      <w:r>
        <w:rPr>
          <w:rStyle w:val="39"/>
          <w:rFonts w:ascii="宋体" w:hAnsi="宋体"/>
          <w:b/>
          <w:sz w:val="28"/>
          <w:szCs w:val="28"/>
        </w:rPr>
        <w:instrText xml:space="preserve"> </w:instrText>
      </w:r>
      <w:r>
        <w:rPr>
          <w:rFonts w:ascii="宋体" w:hAnsi="宋体"/>
          <w:b/>
          <w:sz w:val="28"/>
          <w:szCs w:val="28"/>
        </w:rPr>
        <w:fldChar w:fldCharType="separate"/>
      </w:r>
      <w:r>
        <w:rPr>
          <w:rStyle w:val="39"/>
          <w:rFonts w:hint="eastAsia" w:ascii="宋体" w:hAnsi="宋体"/>
          <w:b/>
          <w:sz w:val="28"/>
          <w:szCs w:val="28"/>
        </w:rPr>
        <w:t>第一章</w:t>
      </w:r>
      <w:r>
        <w:rPr>
          <w:rStyle w:val="39"/>
          <w:rFonts w:ascii="宋体" w:hAnsi="宋体"/>
          <w:b/>
          <w:sz w:val="28"/>
          <w:szCs w:val="28"/>
        </w:rPr>
        <w:t xml:space="preserve"> </w:t>
      </w:r>
      <w:r>
        <w:rPr>
          <w:rStyle w:val="39"/>
          <w:rFonts w:hint="eastAsia" w:ascii="宋体" w:hAnsi="宋体"/>
          <w:b/>
          <w:sz w:val="28"/>
          <w:szCs w:val="28"/>
        </w:rPr>
        <w:t>竞争性谈判公告</w:t>
      </w:r>
      <w:r>
        <w:rPr>
          <w:rFonts w:ascii="宋体" w:hAnsi="宋体"/>
          <w:b/>
          <w:sz w:val="28"/>
          <w:szCs w:val="28"/>
        </w:rPr>
        <w:tab/>
      </w:r>
      <w:r>
        <w:rPr>
          <w:rFonts w:hint="eastAsia" w:ascii="宋体" w:hAnsi="宋体"/>
          <w:b/>
          <w:sz w:val="28"/>
          <w:szCs w:val="28"/>
        </w:rPr>
        <w:t>3</w:t>
      </w:r>
      <w:r>
        <w:rPr>
          <w:rFonts w:ascii="宋体" w:hAnsi="宋体"/>
          <w:b/>
          <w:sz w:val="28"/>
          <w:szCs w:val="28"/>
        </w:rPr>
        <w:fldChar w:fldCharType="end"/>
      </w:r>
    </w:p>
    <w:p>
      <w:pPr>
        <w:pStyle w:val="19"/>
        <w:tabs>
          <w:tab w:val="right" w:leader="dot" w:pos="8777"/>
        </w:tabs>
        <w:spacing w:line="480" w:lineRule="auto"/>
        <w:rPr>
          <w:rFonts w:ascii="宋体" w:hAnsi="宋体"/>
          <w:b/>
          <w:sz w:val="28"/>
          <w:szCs w:val="28"/>
        </w:rPr>
      </w:pPr>
      <w:r>
        <w:rPr>
          <w:rFonts w:ascii="宋体" w:hAnsi="宋体"/>
          <w:b/>
          <w:sz w:val="28"/>
          <w:szCs w:val="28"/>
        </w:rPr>
        <w:fldChar w:fldCharType="begin"/>
      </w:r>
      <w:r>
        <w:rPr>
          <w:rStyle w:val="39"/>
          <w:rFonts w:ascii="宋体" w:hAnsi="宋体"/>
          <w:b/>
          <w:sz w:val="28"/>
          <w:szCs w:val="28"/>
        </w:rPr>
        <w:instrText xml:space="preserve"> </w:instrText>
      </w:r>
      <w:r>
        <w:rPr>
          <w:rFonts w:ascii="宋体" w:hAnsi="宋体"/>
          <w:b/>
          <w:sz w:val="28"/>
          <w:szCs w:val="28"/>
        </w:rPr>
        <w:instrText xml:space="preserve">HYPERLINK \l "_Toc465933787"</w:instrText>
      </w:r>
      <w:r>
        <w:rPr>
          <w:rStyle w:val="39"/>
          <w:rFonts w:ascii="宋体" w:hAnsi="宋体"/>
          <w:b/>
          <w:sz w:val="28"/>
          <w:szCs w:val="28"/>
        </w:rPr>
        <w:instrText xml:space="preserve"> </w:instrText>
      </w:r>
      <w:r>
        <w:rPr>
          <w:rFonts w:ascii="宋体" w:hAnsi="宋体"/>
          <w:b/>
          <w:sz w:val="28"/>
          <w:szCs w:val="28"/>
        </w:rPr>
        <w:fldChar w:fldCharType="separate"/>
      </w:r>
      <w:r>
        <w:rPr>
          <w:rStyle w:val="39"/>
          <w:rFonts w:hint="eastAsia" w:ascii="宋体" w:hAnsi="宋体"/>
          <w:b/>
          <w:sz w:val="28"/>
          <w:szCs w:val="28"/>
        </w:rPr>
        <w:t>第二章</w:t>
      </w:r>
      <w:r>
        <w:rPr>
          <w:rStyle w:val="39"/>
          <w:rFonts w:ascii="宋体" w:hAnsi="宋体"/>
          <w:b/>
          <w:sz w:val="28"/>
          <w:szCs w:val="28"/>
        </w:rPr>
        <w:t xml:space="preserve"> </w:t>
      </w:r>
      <w:r>
        <w:rPr>
          <w:rStyle w:val="39"/>
          <w:rFonts w:hint="eastAsia" w:ascii="宋体" w:hAnsi="宋体"/>
          <w:b/>
          <w:sz w:val="28"/>
          <w:szCs w:val="28"/>
        </w:rPr>
        <w:t>供应商须知</w:t>
      </w:r>
      <w:r>
        <w:rPr>
          <w:rFonts w:ascii="宋体" w:hAnsi="宋体"/>
          <w:b/>
          <w:sz w:val="28"/>
          <w:szCs w:val="28"/>
        </w:rPr>
        <w:tab/>
      </w:r>
      <w:r>
        <w:rPr>
          <w:rFonts w:hint="eastAsia" w:ascii="宋体" w:hAnsi="宋体"/>
          <w:b/>
          <w:sz w:val="28"/>
          <w:szCs w:val="28"/>
        </w:rPr>
        <w:t>6</w:t>
      </w:r>
      <w:r>
        <w:rPr>
          <w:rFonts w:ascii="宋体" w:hAnsi="宋体"/>
          <w:b/>
          <w:sz w:val="28"/>
          <w:szCs w:val="28"/>
        </w:rPr>
        <w:fldChar w:fldCharType="end"/>
      </w:r>
    </w:p>
    <w:p>
      <w:pPr>
        <w:pStyle w:val="19"/>
        <w:tabs>
          <w:tab w:val="right" w:leader="dot" w:pos="8777"/>
        </w:tabs>
        <w:spacing w:line="480" w:lineRule="auto"/>
        <w:rPr>
          <w:rFonts w:ascii="宋体" w:hAnsi="宋体"/>
          <w:b/>
          <w:sz w:val="28"/>
          <w:szCs w:val="28"/>
        </w:rPr>
      </w:pPr>
      <w:r>
        <w:rPr>
          <w:rFonts w:ascii="宋体" w:hAnsi="宋体"/>
          <w:b/>
          <w:sz w:val="28"/>
          <w:szCs w:val="28"/>
        </w:rPr>
        <w:fldChar w:fldCharType="begin"/>
      </w:r>
      <w:r>
        <w:rPr>
          <w:rStyle w:val="39"/>
          <w:rFonts w:ascii="宋体" w:hAnsi="宋体"/>
          <w:b/>
          <w:sz w:val="28"/>
          <w:szCs w:val="28"/>
        </w:rPr>
        <w:instrText xml:space="preserve"> </w:instrText>
      </w:r>
      <w:r>
        <w:rPr>
          <w:rFonts w:ascii="宋体" w:hAnsi="宋体"/>
          <w:b/>
          <w:sz w:val="28"/>
          <w:szCs w:val="28"/>
        </w:rPr>
        <w:instrText xml:space="preserve">HYPERLINK \l "_Toc465933788"</w:instrText>
      </w:r>
      <w:r>
        <w:rPr>
          <w:rStyle w:val="39"/>
          <w:rFonts w:ascii="宋体" w:hAnsi="宋体"/>
          <w:b/>
          <w:sz w:val="28"/>
          <w:szCs w:val="28"/>
        </w:rPr>
        <w:instrText xml:space="preserve"> </w:instrText>
      </w:r>
      <w:r>
        <w:rPr>
          <w:rFonts w:ascii="宋体" w:hAnsi="宋体"/>
          <w:b/>
          <w:sz w:val="28"/>
          <w:szCs w:val="28"/>
        </w:rPr>
        <w:fldChar w:fldCharType="separate"/>
      </w:r>
      <w:r>
        <w:rPr>
          <w:rStyle w:val="39"/>
          <w:rFonts w:hint="eastAsia" w:ascii="宋体" w:hAnsi="宋体"/>
          <w:b/>
          <w:sz w:val="28"/>
          <w:szCs w:val="28"/>
        </w:rPr>
        <w:t>第三章</w:t>
      </w:r>
      <w:r>
        <w:rPr>
          <w:rStyle w:val="39"/>
          <w:rFonts w:ascii="宋体" w:hAnsi="宋体"/>
          <w:b/>
          <w:sz w:val="28"/>
          <w:szCs w:val="28"/>
        </w:rPr>
        <w:t xml:space="preserve"> </w:t>
      </w:r>
      <w:r>
        <w:rPr>
          <w:rStyle w:val="39"/>
          <w:rFonts w:hint="eastAsia" w:ascii="宋体" w:hAnsi="宋体"/>
          <w:b/>
          <w:sz w:val="28"/>
          <w:szCs w:val="28"/>
        </w:rPr>
        <w:t>评审办法</w:t>
      </w:r>
      <w:r>
        <w:rPr>
          <w:rFonts w:ascii="宋体" w:hAnsi="宋体"/>
          <w:b/>
          <w:sz w:val="28"/>
          <w:szCs w:val="28"/>
        </w:rPr>
        <w:tab/>
      </w:r>
      <w:r>
        <w:rPr>
          <w:rFonts w:hint="eastAsia" w:ascii="宋体" w:hAnsi="宋体"/>
          <w:b/>
          <w:sz w:val="28"/>
          <w:szCs w:val="28"/>
        </w:rPr>
        <w:t>20</w:t>
      </w:r>
      <w:r>
        <w:rPr>
          <w:rFonts w:ascii="宋体" w:hAnsi="宋体"/>
          <w:b/>
          <w:sz w:val="28"/>
          <w:szCs w:val="28"/>
        </w:rPr>
        <w:fldChar w:fldCharType="end"/>
      </w:r>
    </w:p>
    <w:p>
      <w:pPr>
        <w:pStyle w:val="19"/>
        <w:tabs>
          <w:tab w:val="right" w:leader="dot" w:pos="8777"/>
        </w:tabs>
        <w:spacing w:line="480" w:lineRule="auto"/>
        <w:rPr>
          <w:rFonts w:ascii="宋体" w:hAnsi="宋体"/>
          <w:b/>
          <w:sz w:val="28"/>
          <w:szCs w:val="28"/>
        </w:rPr>
      </w:pPr>
      <w:r>
        <w:rPr>
          <w:rFonts w:ascii="宋体" w:hAnsi="宋体"/>
          <w:b/>
          <w:sz w:val="28"/>
          <w:szCs w:val="28"/>
        </w:rPr>
        <w:fldChar w:fldCharType="begin"/>
      </w:r>
      <w:r>
        <w:rPr>
          <w:rStyle w:val="39"/>
          <w:rFonts w:ascii="宋体" w:hAnsi="宋体"/>
          <w:b/>
          <w:sz w:val="28"/>
          <w:szCs w:val="28"/>
        </w:rPr>
        <w:instrText xml:space="preserve"> </w:instrText>
      </w:r>
      <w:r>
        <w:rPr>
          <w:rFonts w:ascii="宋体" w:hAnsi="宋体"/>
          <w:b/>
          <w:sz w:val="28"/>
          <w:szCs w:val="28"/>
        </w:rPr>
        <w:instrText xml:space="preserve">HYPERLINK \l "_Toc465933791"</w:instrText>
      </w:r>
      <w:r>
        <w:rPr>
          <w:rStyle w:val="39"/>
          <w:rFonts w:ascii="宋体" w:hAnsi="宋体"/>
          <w:b/>
          <w:sz w:val="28"/>
          <w:szCs w:val="28"/>
        </w:rPr>
        <w:instrText xml:space="preserve"> </w:instrText>
      </w:r>
      <w:r>
        <w:rPr>
          <w:rFonts w:ascii="宋体" w:hAnsi="宋体"/>
          <w:b/>
          <w:sz w:val="28"/>
          <w:szCs w:val="28"/>
        </w:rPr>
        <w:fldChar w:fldCharType="separate"/>
      </w:r>
      <w:r>
        <w:rPr>
          <w:rStyle w:val="39"/>
          <w:rFonts w:hint="eastAsia" w:ascii="宋体" w:hAnsi="宋体"/>
          <w:b/>
          <w:sz w:val="28"/>
          <w:szCs w:val="28"/>
        </w:rPr>
        <w:t>第四章</w:t>
      </w:r>
      <w:r>
        <w:rPr>
          <w:rStyle w:val="39"/>
          <w:rFonts w:ascii="宋体" w:hAnsi="宋体"/>
          <w:b/>
          <w:sz w:val="28"/>
          <w:szCs w:val="28"/>
        </w:rPr>
        <w:t xml:space="preserve"> </w:t>
      </w:r>
      <w:r>
        <w:rPr>
          <w:rStyle w:val="39"/>
          <w:rFonts w:hint="eastAsia" w:ascii="宋体" w:hAnsi="宋体"/>
          <w:b/>
          <w:sz w:val="28"/>
          <w:szCs w:val="28"/>
        </w:rPr>
        <w:t>合同条款及格式</w:t>
      </w:r>
      <w:r>
        <w:rPr>
          <w:rFonts w:ascii="宋体" w:hAnsi="宋体"/>
          <w:b/>
          <w:sz w:val="28"/>
          <w:szCs w:val="28"/>
        </w:rPr>
        <w:tab/>
      </w:r>
      <w:r>
        <w:rPr>
          <w:rFonts w:hint="eastAsia" w:ascii="宋体" w:hAnsi="宋体"/>
          <w:b/>
          <w:sz w:val="28"/>
          <w:szCs w:val="28"/>
        </w:rPr>
        <w:t>26</w:t>
      </w:r>
      <w:r>
        <w:rPr>
          <w:rFonts w:ascii="宋体" w:hAnsi="宋体"/>
          <w:b/>
          <w:sz w:val="28"/>
          <w:szCs w:val="28"/>
        </w:rPr>
        <w:fldChar w:fldCharType="end"/>
      </w:r>
    </w:p>
    <w:p>
      <w:pPr>
        <w:pStyle w:val="19"/>
        <w:tabs>
          <w:tab w:val="right" w:leader="dot" w:pos="8777"/>
        </w:tabs>
        <w:spacing w:line="480" w:lineRule="auto"/>
        <w:rPr>
          <w:rFonts w:hint="eastAsia" w:ascii="宋体" w:hAnsi="宋体"/>
          <w:b/>
          <w:sz w:val="28"/>
          <w:szCs w:val="28"/>
        </w:rPr>
      </w:pPr>
      <w:r>
        <w:rPr>
          <w:rFonts w:ascii="宋体" w:hAnsi="宋体"/>
          <w:b/>
          <w:sz w:val="28"/>
          <w:szCs w:val="28"/>
        </w:rPr>
        <w:fldChar w:fldCharType="begin"/>
      </w:r>
      <w:r>
        <w:rPr>
          <w:rStyle w:val="39"/>
          <w:rFonts w:ascii="宋体" w:hAnsi="宋体"/>
          <w:b/>
          <w:sz w:val="28"/>
          <w:szCs w:val="28"/>
        </w:rPr>
        <w:instrText xml:space="preserve"> </w:instrText>
      </w:r>
      <w:r>
        <w:rPr>
          <w:rFonts w:ascii="宋体" w:hAnsi="宋体"/>
          <w:b/>
          <w:sz w:val="28"/>
          <w:szCs w:val="28"/>
        </w:rPr>
        <w:instrText xml:space="preserve">HYPERLINK \l "_Toc465933802"</w:instrText>
      </w:r>
      <w:r>
        <w:rPr>
          <w:rStyle w:val="39"/>
          <w:rFonts w:ascii="宋体" w:hAnsi="宋体"/>
          <w:b/>
          <w:sz w:val="28"/>
          <w:szCs w:val="28"/>
        </w:rPr>
        <w:instrText xml:space="preserve"> </w:instrText>
      </w:r>
      <w:r>
        <w:rPr>
          <w:rFonts w:ascii="宋体" w:hAnsi="宋体"/>
          <w:b/>
          <w:sz w:val="28"/>
          <w:szCs w:val="28"/>
        </w:rPr>
        <w:fldChar w:fldCharType="separate"/>
      </w:r>
      <w:r>
        <w:rPr>
          <w:rStyle w:val="39"/>
          <w:rFonts w:hint="eastAsia" w:ascii="宋体" w:hAnsi="宋体"/>
          <w:b/>
          <w:sz w:val="28"/>
          <w:szCs w:val="28"/>
        </w:rPr>
        <w:t>第五章</w:t>
      </w:r>
      <w:r>
        <w:rPr>
          <w:rStyle w:val="39"/>
          <w:rFonts w:ascii="宋体" w:hAnsi="宋体"/>
          <w:b/>
          <w:sz w:val="28"/>
          <w:szCs w:val="28"/>
        </w:rPr>
        <w:t xml:space="preserve"> </w:t>
      </w:r>
      <w:r>
        <w:rPr>
          <w:rStyle w:val="39"/>
          <w:rFonts w:hint="eastAsia" w:ascii="宋体" w:hAnsi="宋体"/>
          <w:b/>
          <w:sz w:val="28"/>
          <w:szCs w:val="28"/>
        </w:rPr>
        <w:t>响应文件格式</w:t>
      </w:r>
      <w:r>
        <w:rPr>
          <w:rFonts w:ascii="宋体" w:hAnsi="宋体"/>
          <w:b/>
          <w:sz w:val="28"/>
          <w:szCs w:val="28"/>
        </w:rPr>
        <w:tab/>
      </w:r>
      <w:r>
        <w:rPr>
          <w:rFonts w:hint="eastAsia" w:ascii="宋体" w:hAnsi="宋体"/>
          <w:b/>
          <w:sz w:val="28"/>
          <w:szCs w:val="28"/>
        </w:rPr>
        <w:t>34</w:t>
      </w:r>
      <w:r>
        <w:rPr>
          <w:rFonts w:ascii="宋体" w:hAnsi="宋体"/>
          <w:b/>
          <w:sz w:val="28"/>
          <w:szCs w:val="28"/>
        </w:rPr>
        <w:fldChar w:fldCharType="end"/>
      </w:r>
    </w:p>
    <w:p>
      <w:pPr>
        <w:pStyle w:val="19"/>
        <w:tabs>
          <w:tab w:val="right" w:leader="dot" w:pos="8494"/>
        </w:tabs>
        <w:spacing w:line="480" w:lineRule="auto"/>
        <w:rPr>
          <w:rFonts w:ascii="宋体"/>
          <w:sz w:val="28"/>
          <w:szCs w:val="28"/>
        </w:rPr>
      </w:pPr>
      <w:r>
        <w:rPr>
          <w:rFonts w:ascii="宋体" w:hAnsi="宋体" w:cs="宋体"/>
          <w:b/>
          <w:sz w:val="28"/>
          <w:szCs w:val="28"/>
        </w:rPr>
        <w:fldChar w:fldCharType="end"/>
      </w: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rPr>
          <w:rFonts w:ascii="宋体"/>
          <w:b/>
          <w:bCs/>
        </w:rPr>
      </w:pPr>
    </w:p>
    <w:p>
      <w:pPr>
        <w:ind w:firstLine="435"/>
        <w:jc w:val="center"/>
        <w:outlineLvl w:val="0"/>
        <w:rPr>
          <w:rStyle w:val="56"/>
          <w:rFonts w:ascii="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701" w:header="851" w:footer="992" w:gutter="0"/>
          <w:cols w:space="720" w:num="1"/>
          <w:titlePg/>
          <w:docGrid w:type="lines" w:linePitch="312" w:charSpace="0"/>
        </w:sectPr>
      </w:pPr>
      <w:bookmarkStart w:id="0" w:name="_Toc20502"/>
    </w:p>
    <w:bookmarkEnd w:id="0"/>
    <w:p>
      <w:pPr>
        <w:widowControl/>
        <w:shd w:val="clear" w:color="auto" w:fill="FFFFFF"/>
        <w:spacing w:line="560" w:lineRule="exact"/>
        <w:ind w:firstLine="640"/>
        <w:jc w:val="center"/>
        <w:rPr>
          <w:rFonts w:hint="default" w:ascii="仿宋" w:hAnsi="仿宋" w:eastAsia="仿宋" w:cs="宋体"/>
          <w:b/>
          <w:bCs/>
          <w:color w:val="000000"/>
          <w:spacing w:val="-20"/>
          <w:kern w:val="0"/>
          <w:sz w:val="32"/>
          <w:szCs w:val="32"/>
          <w:lang w:val="en-US" w:eastAsia="zh-CN"/>
        </w:rPr>
      </w:pPr>
      <w:bookmarkStart w:id="1" w:name="OLE_LINK1"/>
      <w:bookmarkStart w:id="2" w:name="OLE_LINK2"/>
      <w:bookmarkStart w:id="3" w:name="_Toc1059"/>
      <w:r>
        <w:rPr>
          <w:rFonts w:hint="default" w:ascii="仿宋" w:hAnsi="仿宋" w:eastAsia="仿宋" w:cs="宋体"/>
          <w:b/>
          <w:bCs/>
          <w:color w:val="000000"/>
          <w:kern w:val="0"/>
          <w:sz w:val="32"/>
          <w:szCs w:val="32"/>
          <w:lang w:val="en-US" w:eastAsia="zh-CN"/>
        </w:rPr>
        <w:t>阜阳工业经济学校</w:t>
      </w:r>
      <w:r>
        <w:rPr>
          <w:rFonts w:hint="default" w:ascii="仿宋" w:hAnsi="仿宋" w:eastAsia="仿宋" w:cs="宋体"/>
          <w:b/>
          <w:bCs/>
          <w:color w:val="000000"/>
          <w:spacing w:val="-20"/>
          <w:kern w:val="0"/>
          <w:sz w:val="32"/>
          <w:szCs w:val="32"/>
          <w:lang w:val="en-US" w:eastAsia="zh-CN"/>
        </w:rPr>
        <w:t>窗帘、椅套、桌套采购项目</w:t>
      </w:r>
    </w:p>
    <w:p>
      <w:pPr>
        <w:widowControl/>
        <w:shd w:val="clear" w:color="auto" w:fill="FFFFFF"/>
        <w:spacing w:line="560" w:lineRule="exact"/>
        <w:ind w:firstLine="640"/>
        <w:jc w:val="center"/>
        <w:rPr>
          <w:rFonts w:hint="eastAsia" w:ascii="仿宋" w:hAnsi="仿宋" w:eastAsia="仿宋" w:cs="宋体"/>
          <w:b/>
          <w:bCs/>
          <w:color w:val="000000"/>
          <w:kern w:val="0"/>
          <w:sz w:val="40"/>
          <w:szCs w:val="40"/>
        </w:rPr>
      </w:pPr>
      <w:r>
        <w:rPr>
          <w:rFonts w:hint="eastAsia" w:ascii="仿宋" w:hAnsi="仿宋" w:eastAsia="仿宋" w:cs="宋体"/>
          <w:b/>
          <w:bCs/>
          <w:color w:val="000000"/>
          <w:kern w:val="0"/>
          <w:sz w:val="40"/>
          <w:szCs w:val="40"/>
        </w:rPr>
        <w:t>竞争性谈判公告</w:t>
      </w:r>
    </w:p>
    <w:p>
      <w:pPr>
        <w:widowControl/>
        <w:shd w:val="clear" w:color="auto" w:fill="FFFFFF"/>
        <w:spacing w:line="560" w:lineRule="exact"/>
        <w:ind w:left="279" w:leftChars="133" w:firstLine="571" w:firstLineChars="204"/>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因工作需要</w:t>
      </w:r>
      <w:r>
        <w:rPr>
          <w:rFonts w:hint="eastAsia" w:ascii="仿宋" w:hAnsi="仿宋" w:eastAsia="仿宋" w:cs="宋体"/>
          <w:color w:val="000000"/>
          <w:kern w:val="0"/>
          <w:sz w:val="28"/>
          <w:szCs w:val="28"/>
        </w:rPr>
        <w:t>，现</w:t>
      </w:r>
      <w:r>
        <w:rPr>
          <w:rFonts w:hint="eastAsia" w:ascii="仿宋" w:hAnsi="仿宋" w:eastAsia="仿宋" w:cs="宋体"/>
          <w:color w:val="000000"/>
          <w:kern w:val="0"/>
          <w:sz w:val="28"/>
          <w:szCs w:val="28"/>
          <w:lang w:eastAsia="zh-CN"/>
        </w:rPr>
        <w:t>对</w:t>
      </w:r>
      <w:r>
        <w:rPr>
          <w:rFonts w:hint="eastAsia" w:ascii="仿宋" w:hAnsi="仿宋" w:eastAsia="仿宋" w:cs="宋体"/>
          <w:color w:val="000000"/>
          <w:kern w:val="0"/>
          <w:sz w:val="28"/>
          <w:szCs w:val="28"/>
          <w:lang w:val="en-US" w:eastAsia="zh-CN"/>
        </w:rPr>
        <w:t>阜阳工业经济学校窗帘、椅套、桌套采购项目</w:t>
      </w:r>
      <w:r>
        <w:rPr>
          <w:rFonts w:hint="eastAsia" w:ascii="仿宋" w:hAnsi="仿宋" w:eastAsia="仿宋" w:cs="宋体"/>
          <w:color w:val="000000"/>
          <w:kern w:val="0"/>
          <w:sz w:val="28"/>
          <w:szCs w:val="28"/>
          <w:lang w:eastAsia="zh-CN"/>
        </w:rPr>
        <w:t>进行竞争性谈判招标，欢迎具</w:t>
      </w:r>
      <w:r>
        <w:rPr>
          <w:rFonts w:hint="eastAsia" w:ascii="仿宋" w:hAnsi="仿宋" w:eastAsia="仿宋" w:cs="宋体"/>
          <w:color w:val="000000"/>
          <w:kern w:val="0"/>
          <w:sz w:val="28"/>
          <w:szCs w:val="28"/>
        </w:rPr>
        <w:t>备条件的供应商参加谈判。</w:t>
      </w:r>
    </w:p>
    <w:p>
      <w:pPr>
        <w:widowControl/>
        <w:shd w:val="clear" w:color="auto" w:fill="FFFFFF"/>
        <w:spacing w:line="560" w:lineRule="exac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一、项目名称及内容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textAlignment w:val="auto"/>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1、项目编号：</w:t>
      </w:r>
      <w:r>
        <w:rPr>
          <w:rFonts w:hint="eastAsia" w:ascii="仿宋" w:hAnsi="仿宋" w:eastAsia="仿宋" w:cs="宋体"/>
          <w:color w:val="000000"/>
          <w:kern w:val="0"/>
          <w:sz w:val="28"/>
          <w:szCs w:val="28"/>
          <w:lang w:val="en-US" w:eastAsia="zh-CN"/>
        </w:rPr>
        <w:t>2023034</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textAlignment w:val="auto"/>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2、项目名称：</w:t>
      </w:r>
      <w:r>
        <w:rPr>
          <w:rFonts w:hint="eastAsia" w:ascii="仿宋" w:hAnsi="仿宋" w:eastAsia="仿宋" w:cs="宋体"/>
          <w:color w:val="000000"/>
          <w:kern w:val="0"/>
          <w:sz w:val="28"/>
          <w:szCs w:val="28"/>
          <w:lang w:val="en-US" w:eastAsia="zh-CN"/>
        </w:rPr>
        <w:t>阜阳工业经济学校窗帘、椅套、桌套采购项目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textAlignment w:val="auto"/>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需求科室</w:t>
      </w:r>
      <w:r>
        <w:rPr>
          <w:rFonts w:hint="eastAsia" w:ascii="仿宋" w:hAnsi="仿宋" w:eastAsia="仿宋" w:cs="宋体"/>
          <w:color w:val="000000"/>
          <w:kern w:val="0"/>
          <w:sz w:val="28"/>
          <w:szCs w:val="28"/>
        </w:rPr>
        <w:t>：阜阳</w:t>
      </w:r>
      <w:r>
        <w:rPr>
          <w:rFonts w:hint="eastAsia" w:ascii="仿宋" w:hAnsi="仿宋" w:eastAsia="仿宋" w:cs="宋体"/>
          <w:color w:val="000000"/>
          <w:kern w:val="0"/>
          <w:sz w:val="28"/>
          <w:szCs w:val="28"/>
          <w:lang w:eastAsia="zh-CN"/>
        </w:rPr>
        <w:t>工业经济学校</w:t>
      </w:r>
      <w:r>
        <w:rPr>
          <w:rFonts w:hint="eastAsia" w:ascii="仿宋" w:hAnsi="仿宋" w:eastAsia="仿宋" w:cs="宋体"/>
          <w:color w:val="000000"/>
          <w:kern w:val="0"/>
          <w:sz w:val="28"/>
          <w:szCs w:val="28"/>
          <w:lang w:val="en-US" w:eastAsia="zh-CN"/>
        </w:rPr>
        <w:t>成教科</w:t>
      </w:r>
      <w:r>
        <w:rPr>
          <w:rFonts w:ascii="仿宋" w:hAnsi="仿宋" w:eastAsia="仿宋" w:cs="宋体"/>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textAlignment w:val="auto"/>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、项目预算：</w:t>
      </w:r>
      <w:r>
        <w:rPr>
          <w:rFonts w:hint="eastAsia" w:ascii="仿宋" w:hAnsi="仿宋" w:eastAsia="仿宋" w:cs="宋体"/>
          <w:color w:val="000000"/>
          <w:kern w:val="0"/>
          <w:sz w:val="28"/>
          <w:szCs w:val="28"/>
          <w:lang w:val="en-US" w:eastAsia="zh-CN"/>
        </w:rPr>
        <w:t>20200.00元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5、标段（包别）划分：一个标段</w:t>
      </w:r>
    </w:p>
    <w:p>
      <w:pPr>
        <w:pStyle w:val="2"/>
        <w:ind w:firstLine="560" w:firstLineChars="200"/>
        <w:jc w:val="left"/>
        <w:rPr>
          <w:rFonts w:hint="default"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6、采购内容：窗帘80米、椅套180个、桌套60个；详见竞谈文件第五章采购需求。</w:t>
      </w:r>
    </w:p>
    <w:p>
      <w:pPr>
        <w:widowControl/>
        <w:shd w:val="clear" w:color="auto" w:fill="FFFFFF"/>
        <w:spacing w:line="560" w:lineRule="exac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二、供应商资格</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1、符合《中华人民共和国政府采购法》第二十二条规定；</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2、本项目不接受联合体投标；</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3、供应商存在以下不良信用记录情形之一的，不得推荐为中标候选供应商，不得确定为中标供应商：</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(1）供应商被人民法院列入失信被执行人的；</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(2）供应商或其法定代表人或拟派项目经理（项目负责人）被人民检察院列入行贿犯罪档案的；</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(3）供应商被工商行政管理部门列入企业经营异常名录的；</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(4）供应商被税务部门列入重大税收违法案件当事人名单的；</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(5）供应商被政府采购监管部门列入政府采购严重违法失信行为记录名单的。</w:t>
      </w:r>
    </w:p>
    <w:p>
      <w:pPr>
        <w:widowControl/>
        <w:shd w:val="clear" w:color="auto" w:fill="FFFFFF"/>
        <w:spacing w:line="560" w:lineRule="exac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三、谈判文件</w:t>
      </w:r>
      <w:r>
        <w:rPr>
          <w:rFonts w:hint="eastAsia" w:ascii="仿宋" w:hAnsi="仿宋" w:eastAsia="仿宋" w:cs="宋体"/>
          <w:b/>
          <w:bCs/>
          <w:color w:val="000000"/>
          <w:kern w:val="0"/>
          <w:sz w:val="32"/>
          <w:szCs w:val="32"/>
          <w:lang w:val="en-US" w:eastAsia="zh-CN"/>
        </w:rPr>
        <w:t>获取</w:t>
      </w:r>
      <w:r>
        <w:rPr>
          <w:rFonts w:hint="eastAsia" w:ascii="仿宋" w:hAnsi="仿宋" w:eastAsia="仿宋" w:cs="宋体"/>
          <w:b/>
          <w:bCs/>
          <w:color w:val="000000"/>
          <w:kern w:val="0"/>
          <w:sz w:val="32"/>
          <w:szCs w:val="32"/>
        </w:rPr>
        <w:t>办法</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rPr>
        <w:t>、谈判文件价格：免收</w:t>
      </w:r>
    </w:p>
    <w:p>
      <w:pPr>
        <w:widowControl/>
        <w:shd w:val="clear" w:color="auto" w:fill="FFFFFF"/>
        <w:spacing w:line="560" w:lineRule="exact"/>
        <w:ind w:firstLine="640"/>
        <w:rPr>
          <w:rFonts w:ascii="仿宋_GB2312" w:hAnsi="宋体" w:eastAsia="仿宋_GB2312" w:cs="宋体"/>
          <w:color w:val="000000"/>
          <w:kern w:val="0"/>
          <w:sz w:val="32"/>
          <w:szCs w:val="32"/>
        </w:rPr>
      </w:pP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获取</w:t>
      </w:r>
      <w:r>
        <w:rPr>
          <w:rFonts w:hint="eastAsia" w:ascii="仿宋" w:hAnsi="仿宋" w:eastAsia="仿宋" w:cs="宋体"/>
          <w:color w:val="000000"/>
          <w:kern w:val="0"/>
          <w:sz w:val="28"/>
          <w:szCs w:val="28"/>
        </w:rPr>
        <w:t>方式：凡有意参加的供应商，可在阜阳</w:t>
      </w:r>
      <w:r>
        <w:rPr>
          <w:rFonts w:hint="eastAsia" w:ascii="仿宋" w:hAnsi="仿宋" w:eastAsia="仿宋" w:cs="宋体"/>
          <w:color w:val="000000"/>
          <w:kern w:val="0"/>
          <w:sz w:val="28"/>
          <w:szCs w:val="28"/>
          <w:lang w:eastAsia="zh-CN"/>
        </w:rPr>
        <w:t>工业经济学校</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rPr>
        <w:fldChar w:fldCharType="begin"/>
      </w:r>
      <w:r>
        <w:rPr>
          <w:rFonts w:hint="eastAsia" w:ascii="仿宋" w:hAnsi="仿宋" w:eastAsia="仿宋" w:cs="宋体"/>
          <w:color w:val="000000"/>
          <w:kern w:val="0"/>
          <w:sz w:val="28"/>
          <w:szCs w:val="28"/>
        </w:rPr>
        <w:instrText xml:space="preserve"> HYPERLINK "http://jyzx.fy.gov.cn" </w:instrText>
      </w:r>
      <w:r>
        <w:rPr>
          <w:rFonts w:hint="eastAsia" w:ascii="仿宋" w:hAnsi="仿宋" w:eastAsia="仿宋" w:cs="宋体"/>
          <w:color w:val="000000"/>
          <w:kern w:val="0"/>
          <w:sz w:val="28"/>
          <w:szCs w:val="28"/>
        </w:rPr>
        <w:fldChar w:fldCharType="separate"/>
      </w:r>
      <w:r>
        <w:rPr>
          <w:rFonts w:hint="eastAsia" w:ascii="仿宋" w:hAnsi="仿宋" w:eastAsia="仿宋" w:cs="宋体"/>
          <w:color w:val="000000"/>
          <w:kern w:val="0"/>
          <w:sz w:val="28"/>
          <w:szCs w:val="28"/>
        </w:rPr>
        <w:t>http://</w:t>
      </w:r>
      <w:r>
        <w:rPr>
          <w:rFonts w:hint="eastAsia" w:ascii="仿宋" w:hAnsi="仿宋" w:eastAsia="仿宋" w:cs="宋体"/>
          <w:color w:val="000000"/>
          <w:kern w:val="0"/>
          <w:sz w:val="28"/>
          <w:szCs w:val="28"/>
          <w:lang w:val="en-US" w:eastAsia="zh-CN"/>
        </w:rPr>
        <w:t>w</w:t>
      </w:r>
      <w:r>
        <w:rPr>
          <w:rFonts w:hint="eastAsia" w:ascii="仿宋" w:hAnsi="仿宋" w:eastAsia="仿宋" w:cs="宋体"/>
          <w:color w:val="000000"/>
          <w:kern w:val="0"/>
          <w:sz w:val="28"/>
          <w:szCs w:val="28"/>
        </w:rPr>
        <w:fldChar w:fldCharType="end"/>
      </w:r>
      <w:r>
        <w:rPr>
          <w:rFonts w:hint="eastAsia" w:ascii="仿宋" w:hAnsi="仿宋" w:eastAsia="仿宋" w:cs="宋体"/>
          <w:color w:val="000000"/>
          <w:kern w:val="0"/>
          <w:sz w:val="28"/>
          <w:szCs w:val="28"/>
          <w:lang w:val="en-US" w:eastAsia="zh-CN"/>
        </w:rPr>
        <w:t>ww.fycx.com.cn</w:t>
      </w:r>
      <w:r>
        <w:rPr>
          <w:rFonts w:hint="eastAsia" w:ascii="仿宋" w:hAnsi="仿宋" w:eastAsia="仿宋" w:cs="宋体"/>
          <w:color w:val="000000"/>
          <w:kern w:val="0"/>
          <w:sz w:val="28"/>
          <w:szCs w:val="28"/>
        </w:rPr>
        <w:t xml:space="preserve">)网站下载谈判文件。 </w:t>
      </w:r>
      <w:r>
        <w:rPr>
          <w:rFonts w:hint="eastAsia" w:ascii="仿宋_GB2312" w:hAnsi="宋体" w:eastAsia="仿宋_GB2312" w:cs="宋体"/>
          <w:color w:val="000000"/>
          <w:kern w:val="0"/>
          <w:sz w:val="32"/>
          <w:szCs w:val="32"/>
        </w:rPr>
        <w:t xml:space="preserve">   </w:t>
      </w:r>
      <w:r>
        <w:rPr>
          <w:rFonts w:ascii="仿宋" w:hAnsi="仿宋" w:eastAsia="仿宋" w:cs="宋体"/>
          <w:color w:val="000000"/>
          <w:kern w:val="0"/>
          <w:sz w:val="32"/>
          <w:szCs w:val="32"/>
        </w:rPr>
        <w:t xml:space="preserve">  </w:t>
      </w:r>
    </w:p>
    <w:p>
      <w:pPr>
        <w:widowControl/>
        <w:shd w:val="clear" w:color="auto" w:fill="FFFFFF"/>
        <w:spacing w:line="560" w:lineRule="exac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四、谈判时间及地点</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1、谈判时间：20</w:t>
      </w:r>
      <w:r>
        <w:rPr>
          <w:rFonts w:hint="eastAsia" w:ascii="仿宋" w:hAnsi="仿宋" w:eastAsia="仿宋" w:cs="宋体"/>
          <w:color w:val="000000"/>
          <w:kern w:val="0"/>
          <w:sz w:val="28"/>
          <w:szCs w:val="28"/>
          <w:lang w:val="en-US" w:eastAsia="zh-CN"/>
        </w:rPr>
        <w:t>23</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none"/>
          <w:lang w:val="en-US" w:eastAsia="zh-CN"/>
        </w:rPr>
        <w:t>18</w:t>
      </w:r>
      <w:bookmarkStart w:id="134" w:name="_GoBack"/>
      <w:bookmarkEnd w:id="134"/>
      <w:r>
        <w:rPr>
          <w:rFonts w:hint="eastAsia" w:ascii="仿宋" w:hAnsi="仿宋" w:eastAsia="仿宋" w:cs="宋体"/>
          <w:color w:val="000000"/>
          <w:kern w:val="0"/>
          <w:sz w:val="28"/>
          <w:szCs w:val="28"/>
        </w:rPr>
        <w:t>日</w:t>
      </w:r>
      <w:r>
        <w:rPr>
          <w:rFonts w:hint="eastAsia" w:ascii="仿宋" w:hAnsi="仿宋" w:eastAsia="仿宋" w:cs="宋体"/>
          <w:color w:val="000000"/>
          <w:kern w:val="0"/>
          <w:sz w:val="28"/>
          <w:szCs w:val="28"/>
          <w:lang w:val="en-US" w:eastAsia="zh-CN"/>
        </w:rPr>
        <w:t>10</w:t>
      </w:r>
      <w:r>
        <w:rPr>
          <w:rFonts w:hint="eastAsia" w:ascii="仿宋" w:hAnsi="仿宋" w:eastAsia="仿宋" w:cs="宋体"/>
          <w:color w:val="000000"/>
          <w:kern w:val="0"/>
          <w:sz w:val="28"/>
          <w:szCs w:val="28"/>
        </w:rPr>
        <w:t xml:space="preserve">时                               </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2、谈判地点：</w:t>
      </w:r>
      <w:r>
        <w:rPr>
          <w:rFonts w:hint="eastAsia" w:ascii="仿宋" w:hAnsi="仿宋" w:eastAsia="仿宋" w:cs="宋体"/>
          <w:color w:val="000000"/>
          <w:kern w:val="0"/>
          <w:sz w:val="28"/>
          <w:szCs w:val="28"/>
          <w:lang w:eastAsia="zh-CN"/>
        </w:rPr>
        <w:t>阜阳工业经济学校南校区行政楼</w:t>
      </w:r>
      <w:r>
        <w:rPr>
          <w:rFonts w:hint="eastAsia" w:ascii="仿宋" w:hAnsi="仿宋" w:eastAsia="仿宋" w:cs="宋体"/>
          <w:color w:val="000000"/>
          <w:kern w:val="0"/>
          <w:sz w:val="28"/>
          <w:szCs w:val="28"/>
          <w:lang w:val="en-US" w:eastAsia="zh-CN"/>
        </w:rPr>
        <w:t>四</w:t>
      </w:r>
      <w:r>
        <w:rPr>
          <w:rFonts w:hint="eastAsia" w:ascii="仿宋" w:hAnsi="仿宋" w:eastAsia="仿宋" w:cs="宋体"/>
          <w:color w:val="000000"/>
          <w:kern w:val="0"/>
          <w:sz w:val="28"/>
          <w:szCs w:val="28"/>
          <w:lang w:eastAsia="zh-CN"/>
        </w:rPr>
        <w:t>楼会议室</w:t>
      </w:r>
      <w:r>
        <w:rPr>
          <w:rFonts w:hint="eastAsia" w:ascii="仿宋" w:hAnsi="仿宋" w:eastAsia="仿宋" w:cs="宋体"/>
          <w:color w:val="000000"/>
          <w:kern w:val="0"/>
          <w:sz w:val="28"/>
          <w:szCs w:val="28"/>
        </w:rPr>
        <w:t>（地址：阜阳市颍州区</w:t>
      </w:r>
      <w:r>
        <w:rPr>
          <w:rFonts w:hint="eastAsia" w:ascii="仿宋" w:hAnsi="仿宋" w:eastAsia="仿宋" w:cs="宋体"/>
          <w:color w:val="000000"/>
          <w:kern w:val="0"/>
          <w:sz w:val="28"/>
          <w:szCs w:val="28"/>
          <w:lang w:eastAsia="zh-CN"/>
        </w:rPr>
        <w:t>阜南路</w:t>
      </w:r>
      <w:r>
        <w:rPr>
          <w:rFonts w:hint="eastAsia" w:ascii="仿宋" w:hAnsi="仿宋" w:eastAsia="仿宋" w:cs="宋体"/>
          <w:color w:val="000000"/>
          <w:kern w:val="0"/>
          <w:sz w:val="28"/>
          <w:szCs w:val="28"/>
          <w:lang w:val="en-US" w:eastAsia="zh-CN"/>
        </w:rPr>
        <w:t>889</w:t>
      </w:r>
      <w:r>
        <w:rPr>
          <w:rFonts w:hint="eastAsia" w:ascii="仿宋" w:hAnsi="仿宋" w:eastAsia="仿宋" w:cs="宋体"/>
          <w:color w:val="000000"/>
          <w:kern w:val="0"/>
          <w:sz w:val="28"/>
          <w:szCs w:val="28"/>
        </w:rPr>
        <w:t>号</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w:t>
      </w:r>
    </w:p>
    <w:p>
      <w:pPr>
        <w:widowControl/>
        <w:shd w:val="clear" w:color="auto" w:fill="FFFFFF"/>
        <w:spacing w:line="560" w:lineRule="exac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五、响应文件提交时间、截止时间及地点</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1、响应文件提交时间：20</w:t>
      </w:r>
      <w:r>
        <w:rPr>
          <w:rFonts w:hint="eastAsia" w:ascii="仿宋" w:hAnsi="仿宋" w:eastAsia="仿宋" w:cs="宋体"/>
          <w:color w:val="000000"/>
          <w:kern w:val="0"/>
          <w:sz w:val="28"/>
          <w:szCs w:val="28"/>
          <w:lang w:val="en-US" w:eastAsia="zh-CN"/>
        </w:rPr>
        <w:t>23</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 xml:space="preserve"> 18</w:t>
      </w:r>
      <w:r>
        <w:rPr>
          <w:rFonts w:hint="eastAsia" w:ascii="仿宋" w:hAnsi="仿宋" w:eastAsia="仿宋" w:cs="宋体"/>
          <w:color w:val="000000"/>
          <w:kern w:val="0"/>
          <w:sz w:val="28"/>
          <w:szCs w:val="28"/>
        </w:rPr>
        <w:t>日</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时00分至</w:t>
      </w:r>
      <w:r>
        <w:rPr>
          <w:rFonts w:hint="eastAsia" w:ascii="仿宋" w:hAnsi="仿宋" w:eastAsia="仿宋" w:cs="宋体"/>
          <w:color w:val="000000"/>
          <w:kern w:val="0"/>
          <w:sz w:val="28"/>
          <w:szCs w:val="28"/>
          <w:lang w:val="en-US" w:eastAsia="zh-CN"/>
        </w:rPr>
        <w:t>2023年6月18日10</w:t>
      </w:r>
      <w:r>
        <w:rPr>
          <w:rFonts w:hint="eastAsia" w:ascii="仿宋" w:hAnsi="仿宋" w:eastAsia="仿宋" w:cs="宋体"/>
          <w:color w:val="000000"/>
          <w:kern w:val="0"/>
          <w:sz w:val="28"/>
          <w:szCs w:val="28"/>
        </w:rPr>
        <w:t>时00分。</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2、响应文件提交截止时间：20</w:t>
      </w:r>
      <w:r>
        <w:rPr>
          <w:rFonts w:hint="eastAsia" w:ascii="仿宋" w:hAnsi="仿宋" w:eastAsia="仿宋" w:cs="宋体"/>
          <w:color w:val="000000"/>
          <w:kern w:val="0"/>
          <w:sz w:val="28"/>
          <w:szCs w:val="28"/>
          <w:lang w:val="en-US" w:eastAsia="zh-CN"/>
        </w:rPr>
        <w:t>23</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none"/>
          <w:lang w:val="en-US" w:eastAsia="zh-CN"/>
        </w:rPr>
        <w:t>18</w:t>
      </w:r>
      <w:r>
        <w:rPr>
          <w:rFonts w:hint="eastAsia" w:ascii="仿宋" w:hAnsi="仿宋" w:eastAsia="仿宋" w:cs="宋体"/>
          <w:color w:val="000000"/>
          <w:kern w:val="0"/>
          <w:sz w:val="28"/>
          <w:szCs w:val="28"/>
        </w:rPr>
        <w:t>日</w:t>
      </w:r>
      <w:r>
        <w:rPr>
          <w:rFonts w:hint="eastAsia" w:ascii="仿宋" w:hAnsi="仿宋" w:eastAsia="仿宋" w:cs="宋体"/>
          <w:color w:val="000000"/>
          <w:kern w:val="0"/>
          <w:sz w:val="28"/>
          <w:szCs w:val="28"/>
          <w:lang w:val="en-US" w:eastAsia="zh-CN"/>
        </w:rPr>
        <w:t>10</w:t>
      </w:r>
      <w:r>
        <w:rPr>
          <w:rFonts w:hint="eastAsia" w:ascii="仿宋" w:hAnsi="仿宋" w:eastAsia="仿宋" w:cs="宋体"/>
          <w:color w:val="000000"/>
          <w:kern w:val="0"/>
          <w:sz w:val="28"/>
          <w:szCs w:val="28"/>
        </w:rPr>
        <w:t>时。</w:t>
      </w:r>
    </w:p>
    <w:p>
      <w:pPr>
        <w:widowControl/>
        <w:shd w:val="clear" w:color="auto" w:fill="FFFFFF"/>
        <w:spacing w:line="560" w:lineRule="exact"/>
        <w:ind w:firstLine="64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3、响应文件提交地点：</w:t>
      </w:r>
      <w:r>
        <w:rPr>
          <w:rFonts w:hint="eastAsia" w:ascii="仿宋" w:hAnsi="仿宋" w:eastAsia="仿宋" w:cs="宋体"/>
          <w:color w:val="000000"/>
          <w:kern w:val="0"/>
          <w:sz w:val="28"/>
          <w:szCs w:val="28"/>
          <w:lang w:eastAsia="zh-CN"/>
        </w:rPr>
        <w:t>阜阳工业经济学校南校区行政楼三楼采购办</w:t>
      </w:r>
    </w:p>
    <w:p>
      <w:pPr>
        <w:widowControl/>
        <w:shd w:val="clear" w:color="auto" w:fill="FFFFFF"/>
        <w:spacing w:line="560" w:lineRule="exact"/>
        <w:ind w:firstLine="1120" w:firstLineChars="4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地址：阜阳市颍州区</w:t>
      </w:r>
      <w:r>
        <w:rPr>
          <w:rFonts w:hint="eastAsia" w:ascii="仿宋" w:hAnsi="仿宋" w:eastAsia="仿宋" w:cs="宋体"/>
          <w:color w:val="000000"/>
          <w:kern w:val="0"/>
          <w:sz w:val="28"/>
          <w:szCs w:val="28"/>
          <w:lang w:eastAsia="zh-CN"/>
        </w:rPr>
        <w:t>阜南路</w:t>
      </w:r>
      <w:r>
        <w:rPr>
          <w:rFonts w:hint="eastAsia" w:ascii="仿宋" w:hAnsi="仿宋" w:eastAsia="仿宋" w:cs="宋体"/>
          <w:color w:val="000000"/>
          <w:kern w:val="0"/>
          <w:sz w:val="28"/>
          <w:szCs w:val="28"/>
          <w:lang w:val="en-US" w:eastAsia="zh-CN"/>
        </w:rPr>
        <w:t>889</w:t>
      </w:r>
      <w:r>
        <w:rPr>
          <w:rFonts w:hint="eastAsia" w:ascii="仿宋" w:hAnsi="仿宋" w:eastAsia="仿宋" w:cs="宋体"/>
          <w:color w:val="000000"/>
          <w:kern w:val="0"/>
          <w:sz w:val="28"/>
          <w:szCs w:val="28"/>
        </w:rPr>
        <w:t>号。</w:t>
      </w:r>
    </w:p>
    <w:p>
      <w:pPr>
        <w:widowControl/>
        <w:shd w:val="clear" w:color="auto" w:fill="FFFFFF"/>
        <w:spacing w:line="560" w:lineRule="exac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六、联系方法</w:t>
      </w:r>
    </w:p>
    <w:p>
      <w:pPr>
        <w:widowControl/>
        <w:shd w:val="clear" w:color="auto" w:fill="FFFFFF"/>
        <w:spacing w:line="560" w:lineRule="exact"/>
        <w:ind w:firstLine="64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（一）</w:t>
      </w:r>
      <w:r>
        <w:rPr>
          <w:rFonts w:hint="eastAsia" w:ascii="仿宋" w:hAnsi="仿宋" w:eastAsia="仿宋" w:cs="宋体"/>
          <w:color w:val="000000"/>
          <w:kern w:val="0"/>
          <w:sz w:val="28"/>
          <w:szCs w:val="28"/>
          <w:lang w:eastAsia="zh-CN"/>
        </w:rPr>
        <w:t>需求科室</w:t>
      </w:r>
      <w:r>
        <w:rPr>
          <w:rFonts w:hint="eastAsia" w:ascii="仿宋" w:hAnsi="仿宋" w:eastAsia="仿宋" w:cs="宋体"/>
          <w:color w:val="000000"/>
          <w:kern w:val="0"/>
          <w:sz w:val="28"/>
          <w:szCs w:val="28"/>
        </w:rPr>
        <w:t>：阜阳</w:t>
      </w:r>
      <w:r>
        <w:rPr>
          <w:rFonts w:hint="eastAsia" w:ascii="仿宋" w:hAnsi="仿宋" w:eastAsia="仿宋" w:cs="宋体"/>
          <w:color w:val="000000"/>
          <w:kern w:val="0"/>
          <w:sz w:val="28"/>
          <w:szCs w:val="28"/>
          <w:lang w:eastAsia="zh-CN"/>
        </w:rPr>
        <w:t>工业经济学校</w:t>
      </w:r>
      <w:r>
        <w:rPr>
          <w:rFonts w:hint="eastAsia" w:ascii="仿宋" w:hAnsi="仿宋" w:eastAsia="仿宋" w:cs="宋体"/>
          <w:color w:val="000000"/>
          <w:kern w:val="0"/>
          <w:sz w:val="28"/>
          <w:szCs w:val="28"/>
          <w:lang w:val="en-US" w:eastAsia="zh-CN"/>
        </w:rPr>
        <w:t>成教科</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地址：阜阳市颍州区</w:t>
      </w:r>
      <w:r>
        <w:rPr>
          <w:rFonts w:hint="eastAsia" w:ascii="仿宋" w:hAnsi="仿宋" w:eastAsia="仿宋" w:cs="宋体"/>
          <w:color w:val="000000"/>
          <w:kern w:val="0"/>
          <w:sz w:val="28"/>
          <w:szCs w:val="28"/>
          <w:lang w:val="en-US" w:eastAsia="zh-CN"/>
        </w:rPr>
        <w:t>顺昌</w:t>
      </w:r>
      <w:r>
        <w:rPr>
          <w:rFonts w:hint="eastAsia" w:ascii="仿宋" w:hAnsi="仿宋" w:eastAsia="仿宋" w:cs="宋体"/>
          <w:color w:val="000000"/>
          <w:kern w:val="0"/>
          <w:sz w:val="28"/>
          <w:szCs w:val="28"/>
          <w:lang w:eastAsia="zh-CN"/>
        </w:rPr>
        <w:t>路</w:t>
      </w:r>
      <w:r>
        <w:rPr>
          <w:rFonts w:hint="eastAsia" w:ascii="仿宋" w:hAnsi="仿宋" w:eastAsia="仿宋" w:cs="宋体"/>
          <w:color w:val="000000"/>
          <w:kern w:val="0"/>
          <w:sz w:val="28"/>
          <w:szCs w:val="28"/>
          <w:lang w:val="en-US" w:eastAsia="zh-CN"/>
        </w:rPr>
        <w:t>37</w:t>
      </w:r>
      <w:r>
        <w:rPr>
          <w:rFonts w:hint="eastAsia" w:ascii="仿宋" w:hAnsi="仿宋" w:eastAsia="仿宋" w:cs="宋体"/>
          <w:color w:val="000000"/>
          <w:kern w:val="0"/>
          <w:sz w:val="28"/>
          <w:szCs w:val="28"/>
        </w:rPr>
        <w:t xml:space="preserve">号     </w:t>
      </w:r>
    </w:p>
    <w:p>
      <w:pPr>
        <w:widowControl/>
        <w:shd w:val="clear" w:color="auto" w:fill="FFFFFF"/>
        <w:spacing w:line="560" w:lineRule="exact"/>
        <w:ind w:firstLine="64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联系人：</w:t>
      </w:r>
      <w:r>
        <w:rPr>
          <w:rFonts w:hint="eastAsia" w:ascii="仿宋" w:hAnsi="仿宋" w:eastAsia="仿宋" w:cs="宋体"/>
          <w:color w:val="000000"/>
          <w:kern w:val="0"/>
          <w:sz w:val="28"/>
          <w:szCs w:val="28"/>
          <w:lang w:val="en-US" w:eastAsia="zh-CN"/>
        </w:rPr>
        <w:t>赵老师</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电话：</w:t>
      </w:r>
      <w:r>
        <w:rPr>
          <w:rFonts w:hint="eastAsia" w:ascii="仿宋" w:hAnsi="仿宋" w:eastAsia="仿宋" w:cs="宋体"/>
          <w:color w:val="000000"/>
          <w:kern w:val="0"/>
          <w:sz w:val="28"/>
          <w:szCs w:val="28"/>
          <w:lang w:val="en-US" w:eastAsia="zh-CN"/>
        </w:rPr>
        <w:t>0558-2703282</w:t>
      </w:r>
      <w:r>
        <w:rPr>
          <w:rFonts w:hint="eastAsia" w:ascii="仿宋" w:hAnsi="仿宋" w:eastAsia="仿宋" w:cs="宋体"/>
          <w:color w:val="000000"/>
          <w:kern w:val="0"/>
          <w:sz w:val="28"/>
          <w:szCs w:val="28"/>
        </w:rPr>
        <w:t xml:space="preserve">          </w:t>
      </w:r>
    </w:p>
    <w:p>
      <w:pPr>
        <w:widowControl/>
        <w:shd w:val="clear" w:color="auto" w:fill="FFFFFF"/>
        <w:spacing w:line="560" w:lineRule="exact"/>
        <w:ind w:firstLine="64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（二）</w:t>
      </w:r>
      <w:r>
        <w:rPr>
          <w:rFonts w:hint="eastAsia" w:ascii="仿宋" w:hAnsi="仿宋" w:eastAsia="仿宋" w:cs="宋体"/>
          <w:color w:val="000000"/>
          <w:kern w:val="0"/>
          <w:sz w:val="28"/>
          <w:szCs w:val="28"/>
          <w:lang w:eastAsia="zh-CN"/>
        </w:rPr>
        <w:t>采购办公室</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阜阳工业经济学校采购办</w:t>
      </w:r>
      <w:r>
        <w:rPr>
          <w:rFonts w:hint="eastAsia" w:ascii="仿宋" w:hAnsi="仿宋" w:eastAsia="仿宋" w:cs="宋体"/>
          <w:color w:val="000000"/>
          <w:kern w:val="0"/>
          <w:sz w:val="28"/>
          <w:szCs w:val="28"/>
        </w:rPr>
        <w:t xml:space="preserve"> </w:t>
      </w:r>
    </w:p>
    <w:p>
      <w:pPr>
        <w:widowControl/>
        <w:shd w:val="clear" w:color="auto" w:fill="FFFFFF"/>
        <w:spacing w:line="560" w:lineRule="exact"/>
        <w:ind w:firstLine="640"/>
        <w:rPr>
          <w:rFonts w:hint="eastAsia" w:ascii="仿宋" w:hAnsi="仿宋" w:eastAsia="仿宋" w:cs="宋体"/>
          <w:color w:val="FF0000"/>
          <w:kern w:val="0"/>
          <w:sz w:val="28"/>
          <w:szCs w:val="28"/>
        </w:rPr>
      </w:pPr>
      <w:r>
        <w:rPr>
          <w:rFonts w:hint="eastAsia" w:ascii="仿宋" w:hAnsi="仿宋" w:eastAsia="仿宋" w:cs="宋体"/>
          <w:color w:val="000000"/>
          <w:kern w:val="0"/>
          <w:sz w:val="28"/>
          <w:szCs w:val="28"/>
        </w:rPr>
        <w:t>地址：阜阳市颍州区</w:t>
      </w:r>
      <w:r>
        <w:rPr>
          <w:rFonts w:hint="eastAsia" w:ascii="仿宋" w:hAnsi="仿宋" w:eastAsia="仿宋" w:cs="宋体"/>
          <w:color w:val="000000"/>
          <w:kern w:val="0"/>
          <w:sz w:val="28"/>
          <w:szCs w:val="28"/>
          <w:lang w:eastAsia="zh-CN"/>
        </w:rPr>
        <w:t>阜南路</w:t>
      </w:r>
      <w:r>
        <w:rPr>
          <w:rFonts w:hint="eastAsia" w:ascii="仿宋" w:hAnsi="仿宋" w:eastAsia="仿宋" w:cs="宋体"/>
          <w:color w:val="000000"/>
          <w:kern w:val="0"/>
          <w:sz w:val="28"/>
          <w:szCs w:val="28"/>
          <w:lang w:val="en-US" w:eastAsia="zh-CN"/>
        </w:rPr>
        <w:t>889</w:t>
      </w:r>
      <w:r>
        <w:rPr>
          <w:rFonts w:hint="eastAsia" w:ascii="仿宋" w:hAnsi="仿宋" w:eastAsia="仿宋" w:cs="宋体"/>
          <w:color w:val="000000"/>
          <w:kern w:val="0"/>
          <w:sz w:val="28"/>
          <w:szCs w:val="28"/>
        </w:rPr>
        <w:t>号</w:t>
      </w:r>
    </w:p>
    <w:p>
      <w:pPr>
        <w:widowControl/>
        <w:shd w:val="clear" w:color="auto" w:fill="FFFFFF"/>
        <w:spacing w:line="560" w:lineRule="exact"/>
        <w:ind w:firstLine="64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联系人：</w:t>
      </w:r>
      <w:r>
        <w:rPr>
          <w:rFonts w:hint="eastAsia" w:ascii="仿宋" w:hAnsi="仿宋" w:eastAsia="仿宋" w:cs="宋体"/>
          <w:color w:val="000000"/>
          <w:kern w:val="0"/>
          <w:sz w:val="28"/>
          <w:szCs w:val="28"/>
          <w:lang w:eastAsia="zh-CN"/>
        </w:rPr>
        <w:t>段老师</w:t>
      </w:r>
    </w:p>
    <w:p>
      <w:pPr>
        <w:widowControl/>
        <w:shd w:val="clear" w:color="auto" w:fill="FFFFFF"/>
        <w:spacing w:line="560" w:lineRule="exact"/>
        <w:ind w:firstLine="640"/>
        <w:rPr>
          <w:rFonts w:hint="eastAsia"/>
        </w:rPr>
      </w:pPr>
      <w:r>
        <w:rPr>
          <w:rFonts w:hint="eastAsia" w:ascii="仿宋" w:hAnsi="仿宋" w:eastAsia="仿宋" w:cs="宋体"/>
          <w:color w:val="000000"/>
          <w:kern w:val="0"/>
          <w:sz w:val="28"/>
          <w:szCs w:val="28"/>
        </w:rPr>
        <w:t>电话：0558-2</w:t>
      </w:r>
      <w:r>
        <w:rPr>
          <w:rFonts w:hint="eastAsia" w:ascii="仿宋" w:hAnsi="仿宋" w:eastAsia="仿宋" w:cs="宋体"/>
          <w:color w:val="000000"/>
          <w:kern w:val="0"/>
          <w:sz w:val="28"/>
          <w:szCs w:val="28"/>
          <w:lang w:val="en-US" w:eastAsia="zh-CN"/>
        </w:rPr>
        <w:t>703272</w:t>
      </w:r>
      <w:bookmarkEnd w:id="1"/>
      <w:bookmarkEnd w:id="2"/>
      <w:bookmarkStart w:id="4" w:name="_Toc465933787"/>
      <w:bookmarkStart w:id="5" w:name="_Toc368985788"/>
    </w:p>
    <w:p>
      <w:pPr>
        <w:pStyle w:val="26"/>
        <w:spacing w:before="120" w:after="120" w:line="360" w:lineRule="auto"/>
        <w:ind w:firstLine="2891" w:firstLineChars="900"/>
        <w:jc w:val="both"/>
        <w:rPr>
          <w:rFonts w:hint="eastAsia"/>
        </w:rPr>
      </w:pPr>
      <w:r>
        <w:rPr>
          <w:rFonts w:hint="eastAsia"/>
        </w:rPr>
        <w:br w:type="page"/>
      </w:r>
      <w:r>
        <w:rPr>
          <w:rFonts w:hint="eastAsia"/>
        </w:rPr>
        <w:t>第二章 供应商须知</w:t>
      </w:r>
      <w:bookmarkEnd w:id="3"/>
      <w:bookmarkEnd w:id="4"/>
      <w:bookmarkEnd w:id="5"/>
    </w:p>
    <w:p>
      <w:pPr>
        <w:pStyle w:val="26"/>
        <w:spacing w:before="120" w:after="120" w:line="360" w:lineRule="auto"/>
        <w:jc w:val="both"/>
        <w:rPr>
          <w:rStyle w:val="56"/>
          <w:rFonts w:ascii="宋体"/>
          <w:b w:val="0"/>
          <w:bCs w:val="0"/>
          <w:sz w:val="28"/>
          <w:szCs w:val="28"/>
        </w:rPr>
      </w:pPr>
      <w:r>
        <w:rPr>
          <w:rFonts w:hint="eastAsia"/>
        </w:rPr>
        <w:t xml:space="preserve">                    </w:t>
      </w:r>
      <w:r>
        <w:rPr>
          <w:rFonts w:hint="eastAsia" w:ascii="宋体" w:hAnsi="宋体" w:cs="宋体"/>
          <w:sz w:val="28"/>
          <w:szCs w:val="28"/>
        </w:rPr>
        <w:t>供应商须知前附表</w:t>
      </w:r>
    </w:p>
    <w:tbl>
      <w:tblPr>
        <w:tblStyle w:val="2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908"/>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pPr>
              <w:spacing w:line="400" w:lineRule="exact"/>
              <w:jc w:val="center"/>
              <w:rPr>
                <w:rFonts w:hint="eastAsia" w:ascii="宋体" w:hAnsi="宋体" w:cs="宋体"/>
                <w:b/>
                <w:sz w:val="24"/>
                <w:szCs w:val="24"/>
              </w:rPr>
            </w:pPr>
            <w:r>
              <w:rPr>
                <w:rFonts w:hint="eastAsia" w:ascii="宋体" w:hAnsi="宋体" w:cs="宋体"/>
                <w:b/>
                <w:sz w:val="24"/>
                <w:szCs w:val="24"/>
              </w:rPr>
              <w:t>条款号</w:t>
            </w:r>
          </w:p>
        </w:tc>
        <w:tc>
          <w:tcPr>
            <w:tcW w:w="1908" w:type="dxa"/>
            <w:noWrap w:val="0"/>
            <w:vAlign w:val="center"/>
          </w:tcPr>
          <w:p>
            <w:pPr>
              <w:spacing w:line="400" w:lineRule="exact"/>
              <w:jc w:val="center"/>
              <w:rPr>
                <w:rFonts w:hint="eastAsia" w:ascii="宋体" w:hAnsi="宋体" w:cs="宋体"/>
                <w:b/>
                <w:sz w:val="24"/>
                <w:szCs w:val="24"/>
              </w:rPr>
            </w:pPr>
            <w:r>
              <w:rPr>
                <w:rFonts w:hint="eastAsia" w:ascii="宋体" w:hAnsi="宋体" w:cs="宋体"/>
                <w:b/>
                <w:sz w:val="24"/>
                <w:szCs w:val="24"/>
              </w:rPr>
              <w:t>条 款 名 称</w:t>
            </w:r>
          </w:p>
        </w:tc>
        <w:tc>
          <w:tcPr>
            <w:tcW w:w="6832" w:type="dxa"/>
            <w:noWrap w:val="0"/>
            <w:vAlign w:val="center"/>
          </w:tcPr>
          <w:p>
            <w:pPr>
              <w:spacing w:line="400" w:lineRule="exact"/>
              <w:ind w:firstLine="2168" w:firstLineChars="900"/>
              <w:rPr>
                <w:rFonts w:hint="eastAsia" w:ascii="宋体" w:hAnsi="宋体" w:cs="宋体"/>
                <w:b/>
                <w:sz w:val="24"/>
                <w:szCs w:val="24"/>
              </w:rPr>
            </w:pPr>
            <w:r>
              <w:rPr>
                <w:rFonts w:hint="eastAsia" w:ascii="宋体" w:hAnsi="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1</w:t>
            </w:r>
          </w:p>
        </w:tc>
        <w:tc>
          <w:tcPr>
            <w:tcW w:w="1908"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需求科室</w:t>
            </w:r>
          </w:p>
        </w:tc>
        <w:tc>
          <w:tcPr>
            <w:tcW w:w="6832" w:type="dxa"/>
            <w:noWrap w:val="0"/>
            <w:vAlign w:val="center"/>
          </w:tcPr>
          <w:p>
            <w:pPr>
              <w:spacing w:line="400" w:lineRule="exact"/>
              <w:rPr>
                <w:rFonts w:hint="eastAsia" w:ascii="宋体" w:hAnsi="宋体" w:cs="宋体"/>
                <w:sz w:val="24"/>
                <w:szCs w:val="24"/>
              </w:rPr>
            </w:pPr>
            <w:r>
              <w:rPr>
                <w:rFonts w:hint="eastAsia" w:ascii="宋体" w:hAnsi="宋体" w:cs="宋体"/>
                <w:sz w:val="24"/>
                <w:szCs w:val="24"/>
                <w:lang w:eastAsia="zh-CN"/>
              </w:rPr>
              <w:t>阜阳工业经济学校</w:t>
            </w:r>
            <w:r>
              <w:rPr>
                <w:rFonts w:hint="eastAsia" w:ascii="宋体" w:hAnsi="宋体" w:cs="宋体"/>
                <w:sz w:val="24"/>
                <w:szCs w:val="24"/>
                <w:lang w:val="en-US" w:eastAsia="zh-CN"/>
              </w:rPr>
              <w:t>成教科</w:t>
            </w:r>
            <w:r>
              <w:rPr>
                <w:rFonts w:hint="eastAsia" w:ascii="宋体" w:hAnsi="宋体" w:cs="宋体"/>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2</w:t>
            </w:r>
          </w:p>
        </w:tc>
        <w:tc>
          <w:tcPr>
            <w:tcW w:w="1908" w:type="dxa"/>
            <w:noWrap w:val="0"/>
            <w:vAlign w:val="center"/>
          </w:tcPr>
          <w:p>
            <w:pPr>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采购办公室</w:t>
            </w:r>
          </w:p>
        </w:tc>
        <w:tc>
          <w:tcPr>
            <w:tcW w:w="6832" w:type="dxa"/>
            <w:noWrap w:val="0"/>
            <w:vAlign w:val="center"/>
          </w:tcPr>
          <w:p>
            <w:pPr>
              <w:spacing w:line="400" w:lineRule="exact"/>
              <w:rPr>
                <w:rFonts w:ascii="宋体" w:hAnsi="宋体" w:cs="宋体"/>
                <w:sz w:val="24"/>
                <w:szCs w:val="24"/>
              </w:rPr>
            </w:pPr>
            <w:r>
              <w:rPr>
                <w:rFonts w:hint="eastAsia" w:ascii="宋体" w:hAnsi="宋体" w:cs="宋体"/>
                <w:sz w:val="24"/>
                <w:szCs w:val="24"/>
                <w:lang w:eastAsia="zh-CN"/>
              </w:rPr>
              <w:t>阜阳工业经济学校采购办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3</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6832" w:type="dxa"/>
            <w:noWrap w:val="0"/>
            <w:vAlign w:val="center"/>
          </w:tcPr>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阜阳工业经济学校窗帘、椅套、桌套采购项目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4</w:t>
            </w:r>
          </w:p>
        </w:tc>
        <w:tc>
          <w:tcPr>
            <w:tcW w:w="1908"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交货地点及期限</w:t>
            </w:r>
          </w:p>
        </w:tc>
        <w:tc>
          <w:tcPr>
            <w:tcW w:w="6832" w:type="dxa"/>
            <w:noWrap w:val="0"/>
            <w:vAlign w:val="center"/>
          </w:tcPr>
          <w:p>
            <w:pPr>
              <w:spacing w:line="400" w:lineRule="exact"/>
              <w:rPr>
                <w:rFonts w:hint="eastAsia"/>
                <w:lang w:val="en-US" w:eastAsia="zh-CN"/>
              </w:rPr>
            </w:pPr>
            <w:r>
              <w:rPr>
                <w:rFonts w:hint="eastAsia"/>
                <w:lang w:eastAsia="zh-CN"/>
              </w:rPr>
              <w:t>交货地点：</w:t>
            </w:r>
            <w:r>
              <w:rPr>
                <w:rFonts w:hint="eastAsia"/>
                <w:lang w:val="en-US" w:eastAsia="zh-CN"/>
              </w:rPr>
              <w:t>阜阳工业经济学校北校区</w:t>
            </w:r>
          </w:p>
          <w:p>
            <w:pPr>
              <w:pStyle w:val="2"/>
              <w:rPr>
                <w:rFonts w:hint="default"/>
                <w:lang w:val="en-US"/>
              </w:rPr>
            </w:pPr>
            <w:r>
              <w:rPr>
                <w:rFonts w:hint="eastAsia" w:ascii="Times New Roman" w:hAnsi="Times New Roman" w:eastAsia="宋体" w:cs="Times New Roman"/>
                <w:kern w:val="2"/>
                <w:sz w:val="21"/>
                <w:szCs w:val="21"/>
                <w:lang w:val="en-US" w:eastAsia="zh-CN" w:bidi="ar-SA"/>
              </w:rPr>
              <w:t>供货期限：合同约定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采购范围</w:t>
            </w:r>
          </w:p>
        </w:tc>
        <w:tc>
          <w:tcPr>
            <w:tcW w:w="6832" w:type="dxa"/>
            <w:noWrap w:val="0"/>
            <w:vAlign w:val="center"/>
          </w:tcPr>
          <w:p>
            <w:pPr>
              <w:spacing w:line="400" w:lineRule="exact"/>
              <w:rPr>
                <w:rFonts w:hint="eastAsia" w:ascii="宋体" w:hAnsi="宋体" w:cs="宋体"/>
                <w:bCs/>
                <w:sz w:val="24"/>
                <w:szCs w:val="24"/>
              </w:rPr>
            </w:pPr>
            <w:r>
              <w:rPr>
                <w:rFonts w:hint="eastAsia" w:ascii="宋体" w:hAnsi="宋体" w:cs="宋体"/>
                <w:bCs/>
                <w:sz w:val="24"/>
                <w:szCs w:val="24"/>
              </w:rPr>
              <w:t>竞争性谈判文件及合同规定范围内所包含的全部内容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908" w:type="dxa"/>
            <w:noWrap w:val="0"/>
            <w:vAlign w:val="center"/>
          </w:tcPr>
          <w:p>
            <w:pPr>
              <w:autoSpaceDE w:val="0"/>
              <w:autoSpaceDN w:val="0"/>
              <w:adjustRightInd w:val="0"/>
              <w:jc w:val="left"/>
              <w:rPr>
                <w:rFonts w:hint="eastAsia" w:ascii="宋体" w:hAnsi="宋体" w:cs="宋体"/>
                <w:sz w:val="24"/>
                <w:szCs w:val="24"/>
              </w:rPr>
            </w:pPr>
            <w:r>
              <w:rPr>
                <w:rFonts w:hint="eastAsia" w:ascii="宋体" w:hAnsi="宋体" w:cs="宋体"/>
                <w:sz w:val="24"/>
                <w:szCs w:val="24"/>
              </w:rPr>
              <w:t>供应商资质条件</w:t>
            </w:r>
          </w:p>
        </w:tc>
        <w:tc>
          <w:tcPr>
            <w:tcW w:w="6832" w:type="dxa"/>
            <w:noWrap w:val="0"/>
            <w:vAlign w:val="center"/>
          </w:tcPr>
          <w:p>
            <w:pPr>
              <w:spacing w:line="400" w:lineRule="exact"/>
              <w:ind w:firstLine="120" w:firstLineChars="50"/>
              <w:rPr>
                <w:rFonts w:hint="eastAsia" w:ascii="宋体" w:hAnsi="宋体" w:cs="宋体"/>
                <w:sz w:val="24"/>
                <w:szCs w:val="24"/>
              </w:rPr>
            </w:pPr>
            <w:r>
              <w:rPr>
                <w:rFonts w:hint="eastAsia" w:ascii="宋体" w:hAnsi="宋体" w:cs="宋体"/>
                <w:sz w:val="24"/>
                <w:szCs w:val="24"/>
              </w:rPr>
              <w:t>1、符合《中华人民共和国政府采购法》第二十二条规定；</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2、本项目不接受联合体投标；</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3、供应商存在以下不良信用记录情形之一的，不得推荐为中标候选供应商，不得确定为中标供应商：</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(1）供应商被人民法院列入失信被执行人的；</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(2）供应商或其法定代表人或拟派项目经理（项目负责人）被人民检察院列入行贿犯罪档案的；</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(3）供应商被工商行政管理部门列入企业经营异常名录的；</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(4）供应商被税务部门列入重大税收违法案件当事人名单的；</w:t>
            </w:r>
          </w:p>
          <w:p>
            <w:pPr>
              <w:spacing w:line="400" w:lineRule="exact"/>
              <w:ind w:firstLine="120" w:firstLineChars="50"/>
              <w:rPr>
                <w:rFonts w:hint="eastAsia" w:ascii="宋体" w:hAnsi="宋体" w:cs="宋体"/>
                <w:sz w:val="24"/>
                <w:szCs w:val="24"/>
              </w:rPr>
            </w:pPr>
            <w:r>
              <w:rPr>
                <w:rFonts w:hint="eastAsia" w:ascii="宋体" w:hAnsi="宋体" w:cs="宋体"/>
                <w:sz w:val="24"/>
                <w:szCs w:val="24"/>
              </w:rPr>
              <w:t>(5）供应商被政府采购监管部门列入政府采购严重违法失信行为记录名单的。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是否接受联合</w:t>
            </w:r>
            <w:r>
              <w:rPr>
                <w:rFonts w:hint="eastAsia" w:ascii="宋体" w:hAnsi="宋体" w:cs="宋体"/>
                <w:sz w:val="24"/>
                <w:szCs w:val="24"/>
                <w:lang w:eastAsia="zh-CN"/>
              </w:rPr>
              <w:t>体投标</w:t>
            </w:r>
          </w:p>
        </w:tc>
        <w:tc>
          <w:tcPr>
            <w:tcW w:w="6832" w:type="dxa"/>
            <w:noWrap w:val="0"/>
            <w:vAlign w:val="center"/>
          </w:tcPr>
          <w:p>
            <w:pPr>
              <w:spacing w:line="400" w:lineRule="exact"/>
              <w:ind w:left="105" w:leftChars="50"/>
              <w:rPr>
                <w:rFonts w:hint="eastAsia" w:ascii="宋体" w:hAnsi="宋体" w:cs="宋体"/>
                <w:sz w:val="24"/>
                <w:szCs w:val="24"/>
              </w:rPr>
            </w:pPr>
            <w:r>
              <w:rPr>
                <w:rFonts w:hint="eastAsia" w:ascii="宋体" w:hAnsi="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费用承担</w:t>
            </w:r>
          </w:p>
        </w:tc>
        <w:tc>
          <w:tcPr>
            <w:tcW w:w="6832" w:type="dxa"/>
            <w:noWrap w:val="0"/>
            <w:vAlign w:val="center"/>
          </w:tcPr>
          <w:p>
            <w:pPr>
              <w:spacing w:line="400" w:lineRule="exact"/>
              <w:outlineLvl w:val="3"/>
              <w:rPr>
                <w:rFonts w:hint="eastAsia" w:ascii="宋体" w:hAnsi="宋体" w:cs="宋体"/>
                <w:sz w:val="24"/>
                <w:szCs w:val="24"/>
              </w:rPr>
            </w:pPr>
            <w:r>
              <w:rPr>
                <w:rFonts w:hint="eastAsia" w:ascii="宋体" w:hAnsi="宋体" w:cs="宋体"/>
                <w:sz w:val="24"/>
                <w:szCs w:val="24"/>
              </w:rPr>
              <w:t>招标代理服务费：</w:t>
            </w:r>
            <w:r>
              <w:rPr>
                <w:rFonts w:hint="eastAsia" w:ascii="宋体" w:hAnsi="宋体" w:cs="宋体"/>
                <w:sz w:val="24"/>
                <w:szCs w:val="24"/>
                <w:lang w:val="en-US" w:eastAsia="zh-CN"/>
              </w:rPr>
              <w:t>免收</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谈判保证金</w:t>
            </w:r>
          </w:p>
        </w:tc>
        <w:tc>
          <w:tcPr>
            <w:tcW w:w="6832" w:type="dxa"/>
            <w:noWrap w:val="0"/>
            <w:vAlign w:val="center"/>
          </w:tcPr>
          <w:p>
            <w:pPr>
              <w:spacing w:line="400" w:lineRule="exact"/>
              <w:outlineLvl w:val="3"/>
              <w:rPr>
                <w:rFonts w:hint="eastAsia" w:ascii="宋体" w:hAnsi="宋体" w:cs="宋体"/>
                <w:bCs/>
                <w:sz w:val="24"/>
                <w:szCs w:val="24"/>
              </w:rPr>
            </w:pPr>
            <w:r>
              <w:rPr>
                <w:rFonts w:hint="eastAsia" w:ascii="宋体" w:hAnsi="宋体" w:cs="宋体"/>
                <w:bCs/>
                <w:sz w:val="24"/>
                <w:szCs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踏勘现场</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不组织（供应商可自行勘察现场）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响应预备会</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分  包</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2</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偏  离</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3</w:t>
            </w:r>
          </w:p>
        </w:tc>
        <w:tc>
          <w:tcPr>
            <w:tcW w:w="1908"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竞谈及报价办法</w:t>
            </w:r>
          </w:p>
        </w:tc>
        <w:tc>
          <w:tcPr>
            <w:tcW w:w="6832" w:type="dxa"/>
            <w:noWrap w:val="0"/>
            <w:vAlign w:val="center"/>
          </w:tcPr>
          <w:p>
            <w:pPr>
              <w:spacing w:line="440" w:lineRule="exact"/>
              <w:ind w:firstLine="360" w:firstLineChars="150"/>
              <w:rPr>
                <w:rFonts w:hint="eastAsia" w:ascii="宋体" w:hAnsi="宋体" w:cs="宋体"/>
                <w:sz w:val="24"/>
                <w:szCs w:val="24"/>
              </w:rPr>
            </w:pPr>
            <w:r>
              <w:rPr>
                <w:rFonts w:hint="eastAsia" w:ascii="宋体" w:hAnsi="宋体" w:cs="宋体"/>
                <w:sz w:val="24"/>
                <w:szCs w:val="24"/>
              </w:rPr>
              <w:t>本次竞争性谈判程序为1轮竞争性谈判、2轮报价（第1轮报价予</w:t>
            </w:r>
            <w:r>
              <w:rPr>
                <w:rFonts w:hint="eastAsia" w:ascii="宋体" w:hAnsi="宋体" w:cs="宋体"/>
                <w:sz w:val="24"/>
                <w:szCs w:val="24"/>
                <w:lang w:eastAsia="zh-CN"/>
              </w:rPr>
              <w:t>以</w:t>
            </w:r>
            <w:r>
              <w:rPr>
                <w:rFonts w:hint="eastAsia" w:ascii="宋体" w:hAnsi="宋体" w:cs="宋体"/>
                <w:sz w:val="24"/>
                <w:szCs w:val="24"/>
              </w:rPr>
              <w:t>公开</w:t>
            </w:r>
            <w:r>
              <w:rPr>
                <w:rFonts w:hint="eastAsia" w:ascii="宋体" w:hAnsi="宋体" w:cs="宋体"/>
                <w:sz w:val="24"/>
                <w:szCs w:val="24"/>
                <w:lang w:eastAsia="zh-CN"/>
              </w:rPr>
              <w:t>，第</w:t>
            </w:r>
            <w:r>
              <w:rPr>
                <w:rFonts w:hint="eastAsia" w:ascii="宋体" w:hAnsi="宋体" w:cs="宋体"/>
                <w:sz w:val="24"/>
                <w:szCs w:val="24"/>
                <w:lang w:val="en-US" w:eastAsia="zh-CN"/>
              </w:rPr>
              <w:t>2轮报价不予公开</w:t>
            </w:r>
            <w:r>
              <w:rPr>
                <w:rFonts w:hint="eastAsia" w:ascii="宋体" w:hAnsi="宋体" w:cs="宋体"/>
                <w:sz w:val="24"/>
                <w:szCs w:val="24"/>
              </w:rPr>
              <w:t>）；报价单位的第2轮报价应低于自已的第1轮报价。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bCs/>
                <w:sz w:val="24"/>
                <w:szCs w:val="24"/>
              </w:rPr>
              <w:t>1</w:t>
            </w:r>
            <w:r>
              <w:rPr>
                <w:rFonts w:hint="eastAsia" w:ascii="宋体" w:hAnsi="宋体" w:cs="宋体"/>
                <w:bCs/>
                <w:sz w:val="24"/>
                <w:szCs w:val="24"/>
                <w:lang w:val="en-US" w:eastAsia="zh-CN"/>
              </w:rPr>
              <w:t>4</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供应商对竞争性谈判文件提出异议的截止时间</w:t>
            </w:r>
          </w:p>
        </w:tc>
        <w:tc>
          <w:tcPr>
            <w:tcW w:w="6832" w:type="dxa"/>
            <w:noWrap w:val="0"/>
            <w:vAlign w:val="center"/>
          </w:tcPr>
          <w:p>
            <w:pPr>
              <w:spacing w:line="400" w:lineRule="exact"/>
              <w:rPr>
                <w:rFonts w:hint="eastAsia" w:ascii="宋体" w:hAnsi="宋体" w:cs="宋体"/>
                <w:bCs/>
                <w:sz w:val="24"/>
                <w:szCs w:val="24"/>
              </w:rPr>
            </w:pPr>
            <w:r>
              <w:rPr>
                <w:rFonts w:hint="eastAsia" w:ascii="宋体" w:hAnsi="宋体" w:cs="宋体"/>
                <w:bCs/>
                <w:sz w:val="24"/>
                <w:szCs w:val="24"/>
              </w:rPr>
              <w:t>响应截止时间3天前。</w:t>
            </w:r>
          </w:p>
          <w:p>
            <w:pPr>
              <w:spacing w:line="400" w:lineRule="exact"/>
              <w:rPr>
                <w:rFonts w:hint="eastAsia" w:ascii="宋体" w:hAnsi="宋体" w:cs="宋体"/>
                <w:sz w:val="24"/>
                <w:szCs w:val="24"/>
                <w:u w:val="single"/>
              </w:rPr>
            </w:pPr>
            <w:r>
              <w:rPr>
                <w:rFonts w:hint="eastAsia" w:ascii="宋体" w:hAnsi="宋体" w:cs="宋体"/>
                <w:bCs/>
                <w:sz w:val="24"/>
                <w:szCs w:val="24"/>
              </w:rPr>
              <w:t>接受异议的电子邮箱：</w:t>
            </w:r>
            <w:r>
              <w:rPr>
                <w:rFonts w:hint="eastAsia" w:ascii="宋体" w:hAnsi="宋体" w:cs="宋体"/>
                <w:b w:val="0"/>
                <w:bCs/>
                <w:sz w:val="24"/>
                <w:szCs w:val="24"/>
                <w:lang w:val="en-US" w:eastAsia="zh-CN"/>
              </w:rPr>
              <w:t>34315790</w:t>
            </w:r>
            <w:r>
              <w:rPr>
                <w:rFonts w:hint="eastAsia" w:ascii="宋体" w:hAnsi="宋体" w:cs="宋体"/>
                <w:b w:val="0"/>
                <w:bCs/>
                <w:sz w:val="24"/>
                <w:szCs w:val="24"/>
              </w:rPr>
              <w:t>@</w:t>
            </w:r>
            <w:r>
              <w:rPr>
                <w:rFonts w:hint="eastAsia" w:ascii="宋体" w:hAnsi="宋体" w:cs="宋体"/>
                <w:b w:val="0"/>
                <w:bCs/>
                <w:sz w:val="24"/>
                <w:szCs w:val="24"/>
                <w:lang w:val="en-US" w:eastAsia="zh-CN"/>
              </w:rPr>
              <w:t>qq</w:t>
            </w:r>
            <w:r>
              <w:rPr>
                <w:rFonts w:hint="eastAsia" w:ascii="宋体" w:hAnsi="宋体" w:cs="宋体"/>
                <w:b w:val="0"/>
                <w:bCs/>
                <w:sz w:val="24"/>
                <w:szCs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bCs/>
                <w:sz w:val="24"/>
                <w:szCs w:val="24"/>
              </w:rPr>
              <w:t>1</w:t>
            </w:r>
            <w:r>
              <w:rPr>
                <w:rFonts w:hint="eastAsia" w:ascii="宋体" w:hAnsi="宋体" w:cs="宋体"/>
                <w:bCs/>
                <w:sz w:val="24"/>
                <w:szCs w:val="24"/>
                <w:lang w:val="en-US" w:eastAsia="zh-CN"/>
              </w:rPr>
              <w:t>5</w:t>
            </w:r>
          </w:p>
        </w:tc>
        <w:tc>
          <w:tcPr>
            <w:tcW w:w="1908" w:type="dxa"/>
            <w:noWrap w:val="0"/>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采购人对供应商提出异议的答复</w:t>
            </w:r>
          </w:p>
        </w:tc>
        <w:tc>
          <w:tcPr>
            <w:tcW w:w="6832" w:type="dxa"/>
            <w:noWrap w:val="0"/>
            <w:vAlign w:val="center"/>
          </w:tcPr>
          <w:p>
            <w:pPr>
              <w:spacing w:line="400" w:lineRule="exact"/>
              <w:rPr>
                <w:rFonts w:hint="eastAsia" w:ascii="宋体" w:hAnsi="宋体" w:cs="宋体"/>
                <w:sz w:val="24"/>
                <w:szCs w:val="24"/>
              </w:rPr>
            </w:pPr>
            <w:r>
              <w:rPr>
                <w:rFonts w:hint="eastAsia" w:ascii="宋体" w:hAnsi="宋体" w:cs="宋体"/>
                <w:bCs/>
                <w:spacing w:val="-6"/>
                <w:sz w:val="24"/>
                <w:szCs w:val="24"/>
              </w:rPr>
              <w:t>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s="宋体"/>
                <w:bCs/>
                <w:sz w:val="24"/>
                <w:szCs w:val="24"/>
              </w:rPr>
              <w:t>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bCs/>
                <w:sz w:val="24"/>
                <w:szCs w:val="24"/>
              </w:rPr>
              <w:t>1</w:t>
            </w:r>
            <w:r>
              <w:rPr>
                <w:rFonts w:hint="eastAsia" w:ascii="宋体" w:hAnsi="宋体" w:cs="宋体"/>
                <w:bCs/>
                <w:sz w:val="24"/>
                <w:szCs w:val="24"/>
                <w:lang w:val="en-US" w:eastAsia="zh-CN"/>
              </w:rPr>
              <w:t>6</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竞争性谈判文件的澄清及修改</w:t>
            </w:r>
          </w:p>
        </w:tc>
        <w:tc>
          <w:tcPr>
            <w:tcW w:w="6832" w:type="dxa"/>
            <w:noWrap w:val="0"/>
            <w:vAlign w:val="center"/>
          </w:tcPr>
          <w:p>
            <w:pPr>
              <w:spacing w:line="400" w:lineRule="exact"/>
              <w:ind w:left="105" w:leftChars="50"/>
              <w:rPr>
                <w:rFonts w:hint="eastAsia" w:ascii="宋体" w:hAnsi="宋体" w:cs="宋体"/>
                <w:sz w:val="24"/>
                <w:szCs w:val="24"/>
              </w:rPr>
            </w:pPr>
            <w:r>
              <w:rPr>
                <w:rFonts w:hint="eastAsia" w:ascii="宋体" w:hAnsi="宋体" w:cs="宋体"/>
                <w:bCs/>
                <w:sz w:val="24"/>
                <w:szCs w:val="24"/>
              </w:rPr>
              <w:t>采购人对已发出的竞争性谈判文件进行的必要澄清或者修改的内容可能影响响应文件编制的应在响应截止时间3天前，在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s="宋体"/>
                <w:sz w:val="24"/>
                <w:szCs w:val="24"/>
                <w:u w:val="single"/>
              </w:rPr>
              <w:t>上</w:t>
            </w:r>
            <w:r>
              <w:rPr>
                <w:rFonts w:hint="eastAsia" w:ascii="宋体" w:hAnsi="宋体" w:cs="宋体"/>
                <w:bCs/>
                <w:sz w:val="24"/>
                <w:szCs w:val="24"/>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pPr>
              <w:spacing w:line="400" w:lineRule="exac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17</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构成响应文件的其他材料</w:t>
            </w:r>
          </w:p>
        </w:tc>
        <w:tc>
          <w:tcPr>
            <w:tcW w:w="6832" w:type="dxa"/>
            <w:noWrap w:val="0"/>
            <w:vAlign w:val="center"/>
          </w:tcPr>
          <w:p>
            <w:pPr>
              <w:spacing w:line="400" w:lineRule="exact"/>
              <w:ind w:left="105" w:leftChars="50" w:right="113" w:firstLine="1446" w:firstLineChars="600"/>
              <w:rPr>
                <w:rFonts w:hint="eastAsia" w:ascii="宋体" w:hAnsi="宋体" w:cs="宋体"/>
                <w:b/>
                <w:sz w:val="24"/>
                <w:szCs w:val="24"/>
              </w:rPr>
            </w:pPr>
            <w:r>
              <w:rPr>
                <w:rFonts w:hint="eastAsia" w:ascii="宋体" w:hAnsi="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是否接受调价函</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响应有效期</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908" w:type="dxa"/>
            <w:noWrap w:val="0"/>
            <w:vAlign w:val="center"/>
          </w:tcPr>
          <w:p>
            <w:pPr>
              <w:spacing w:line="400" w:lineRule="exact"/>
              <w:ind w:left="113" w:right="113"/>
              <w:jc w:val="center"/>
              <w:rPr>
                <w:rFonts w:hint="eastAsia" w:ascii="宋体" w:hAnsi="宋体" w:cs="宋体"/>
                <w:sz w:val="24"/>
                <w:szCs w:val="24"/>
              </w:rPr>
            </w:pPr>
            <w:r>
              <w:rPr>
                <w:rFonts w:hint="eastAsia" w:ascii="宋体" w:hAnsi="宋体" w:cs="宋体"/>
                <w:sz w:val="24"/>
                <w:szCs w:val="24"/>
              </w:rPr>
              <w:t>履约保证金</w:t>
            </w:r>
          </w:p>
        </w:tc>
        <w:tc>
          <w:tcPr>
            <w:tcW w:w="6832" w:type="dxa"/>
            <w:noWrap w:val="0"/>
            <w:vAlign w:val="center"/>
          </w:tcPr>
          <w:p>
            <w:pPr>
              <w:spacing w:line="400" w:lineRule="exact"/>
              <w:ind w:left="113" w:right="113"/>
              <w:rPr>
                <w:rFonts w:hint="default" w:ascii="宋体" w:hAnsi="宋体" w:eastAsia="宋体" w:cs="宋体"/>
                <w:sz w:val="24"/>
                <w:szCs w:val="24"/>
                <w:lang w:val="en-US" w:eastAsia="zh-CN"/>
              </w:rPr>
            </w:pPr>
            <w:r>
              <w:rPr>
                <w:rFonts w:hint="eastAsia" w:ascii="宋体" w:hAnsi="宋体" w:cs="宋体"/>
                <w:sz w:val="24"/>
                <w:szCs w:val="24"/>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1</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是否允许递交备选响应方案</w:t>
            </w:r>
          </w:p>
        </w:tc>
        <w:tc>
          <w:tcPr>
            <w:tcW w:w="6832" w:type="dxa"/>
            <w:noWrap w:val="0"/>
            <w:vAlign w:val="center"/>
          </w:tcPr>
          <w:p>
            <w:pPr>
              <w:spacing w:line="400" w:lineRule="exact"/>
              <w:ind w:left="113" w:right="113"/>
              <w:rPr>
                <w:rFonts w:hint="eastAsia"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2</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bCs/>
                <w:color w:val="000000"/>
                <w:sz w:val="24"/>
                <w:szCs w:val="24"/>
              </w:rPr>
              <w:t>项目负责人的业绩要求</w:t>
            </w:r>
          </w:p>
        </w:tc>
        <w:tc>
          <w:tcPr>
            <w:tcW w:w="6832" w:type="dxa"/>
            <w:noWrap w:val="0"/>
            <w:vAlign w:val="center"/>
          </w:tcPr>
          <w:p>
            <w:pPr>
              <w:spacing w:line="400" w:lineRule="exact"/>
              <w:ind w:left="113" w:right="113"/>
              <w:rPr>
                <w:rFonts w:hint="eastAsia" w:ascii="宋体" w:hAnsi="宋体" w:cs="宋体"/>
                <w:sz w:val="24"/>
                <w:szCs w:val="24"/>
              </w:rPr>
            </w:pPr>
            <w:r>
              <w:rPr>
                <w:rFonts w:hint="eastAsia" w:ascii="宋体" w:hAnsi="宋体" w:cs="宋体"/>
                <w:bCs/>
                <w:color w:val="000000"/>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3</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签字或盖章要求</w:t>
            </w:r>
          </w:p>
        </w:tc>
        <w:tc>
          <w:tcPr>
            <w:tcW w:w="6832" w:type="dxa"/>
            <w:noWrap w:val="0"/>
            <w:vAlign w:val="center"/>
          </w:tcPr>
          <w:p>
            <w:pPr>
              <w:spacing w:line="400" w:lineRule="exact"/>
              <w:ind w:right="113"/>
              <w:rPr>
                <w:rFonts w:hint="eastAsia" w:ascii="宋体" w:hAnsi="宋体" w:cs="宋体"/>
                <w:sz w:val="24"/>
                <w:szCs w:val="24"/>
              </w:rPr>
            </w:pPr>
            <w:r>
              <w:rPr>
                <w:rFonts w:hint="eastAsia" w:ascii="宋体" w:hAnsi="宋体" w:cs="宋体"/>
                <w:sz w:val="24"/>
                <w:szCs w:val="24"/>
              </w:rPr>
              <w:t xml:space="preserve"> 符合竞争性谈判文件要求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响应文件纸质份数及装订要求</w:t>
            </w:r>
          </w:p>
        </w:tc>
        <w:tc>
          <w:tcPr>
            <w:tcW w:w="6832" w:type="dxa"/>
            <w:noWrap w:val="0"/>
            <w:vAlign w:val="center"/>
          </w:tcPr>
          <w:p>
            <w:pPr>
              <w:spacing w:line="400" w:lineRule="exact"/>
              <w:ind w:left="113" w:right="113"/>
              <w:rPr>
                <w:rFonts w:hint="eastAsia" w:ascii="宋体" w:hAnsi="宋体" w:cs="宋体"/>
                <w:bCs/>
                <w:sz w:val="24"/>
                <w:szCs w:val="24"/>
              </w:rPr>
            </w:pPr>
            <w:r>
              <w:rPr>
                <w:rFonts w:hint="eastAsia" w:ascii="宋体" w:hAnsi="宋体" w:cs="宋体"/>
                <w:bCs/>
                <w:sz w:val="24"/>
                <w:szCs w:val="24"/>
              </w:rPr>
              <w:t xml:space="preserve">纸质版文件：正本1份,副本 </w:t>
            </w:r>
            <w:r>
              <w:rPr>
                <w:rFonts w:hint="eastAsia" w:ascii="宋体" w:hAnsi="宋体" w:cs="宋体"/>
                <w:bCs/>
                <w:sz w:val="24"/>
                <w:szCs w:val="24"/>
                <w:lang w:val="en-US" w:eastAsia="zh-CN"/>
              </w:rPr>
              <w:t>2</w:t>
            </w:r>
            <w:r>
              <w:rPr>
                <w:rFonts w:hint="eastAsia" w:ascii="宋体" w:hAnsi="宋体" w:cs="宋体"/>
                <w:bCs/>
                <w:sz w:val="24"/>
                <w:szCs w:val="24"/>
              </w:rPr>
              <w:t>份；每册均采用胶装方式装订，装订应牢固、不易拆散和换页，不得采用活页装订。</w:t>
            </w:r>
            <w:r>
              <w:rPr>
                <w:rFonts w:hint="eastAsia" w:ascii="宋体" w:hAnsi="宋体" w:cs="宋体"/>
                <w:b/>
                <w:sz w:val="24"/>
                <w:szCs w:val="24"/>
              </w:rPr>
              <w:t>投标文件一律胶装，不得活页装订，否则按无效标处理.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5</w:t>
            </w:r>
          </w:p>
        </w:tc>
        <w:tc>
          <w:tcPr>
            <w:tcW w:w="1908"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是否要求供应商在递交响应文件时，同时递交响应文件电子版</w:t>
            </w:r>
          </w:p>
        </w:tc>
        <w:tc>
          <w:tcPr>
            <w:tcW w:w="6832" w:type="dxa"/>
            <w:noWrap w:val="0"/>
            <w:vAlign w:val="center"/>
          </w:tcPr>
          <w:p>
            <w:pPr>
              <w:spacing w:line="360" w:lineRule="auto"/>
              <w:ind w:left="113" w:right="113" w:firstLine="240" w:firstLineChars="100"/>
              <w:rPr>
                <w:rFonts w:hint="eastAsia" w:ascii="宋体" w:hAnsi="宋体" w:eastAsia="宋体" w:cs="宋体"/>
                <w:sz w:val="24"/>
                <w:szCs w:val="24"/>
                <w:lang w:eastAsia="zh-CN"/>
              </w:rPr>
            </w:pPr>
            <w:r>
              <w:rPr>
                <w:rFonts w:hint="eastAsia" w:ascii="宋体" w:hAnsi="宋体" w:cs="宋体"/>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792" w:type="dxa"/>
            <w:noWrap w:val="0"/>
            <w:vAlign w:val="center"/>
          </w:tcPr>
          <w:p>
            <w:pPr>
              <w:spacing w:line="400" w:lineRule="exact"/>
              <w:jc w:val="center"/>
              <w:rPr>
                <w:rFonts w:hint="default" w:ascii="宋体" w:hAnsi="宋体" w:eastAsia="宋体" w:cs="宋体"/>
                <w:bCs/>
                <w:sz w:val="24"/>
                <w:szCs w:val="24"/>
                <w:lang w:val="en-US" w:eastAsia="zh-CN"/>
              </w:rPr>
            </w:pPr>
            <w:r>
              <w:rPr>
                <w:rFonts w:hint="eastAsia" w:ascii="宋体" w:hAnsi="宋体" w:cs="宋体"/>
                <w:sz w:val="24"/>
                <w:szCs w:val="24"/>
                <w:lang w:val="en-US" w:eastAsia="zh-CN"/>
              </w:rPr>
              <w:t>27</w:t>
            </w:r>
          </w:p>
        </w:tc>
        <w:tc>
          <w:tcPr>
            <w:tcW w:w="1908" w:type="dxa"/>
            <w:noWrap w:val="0"/>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响应文件递交、截止时间</w:t>
            </w:r>
          </w:p>
        </w:tc>
        <w:tc>
          <w:tcPr>
            <w:tcW w:w="6832" w:type="dxa"/>
            <w:noWrap w:val="0"/>
            <w:vAlign w:val="center"/>
          </w:tcPr>
          <w:p>
            <w:pPr>
              <w:spacing w:line="400" w:lineRule="exact"/>
              <w:ind w:left="240" w:hanging="240" w:hangingChars="100"/>
              <w:rPr>
                <w:rFonts w:hint="eastAsia" w:ascii="宋体" w:hAnsi="宋体" w:cs="宋体"/>
                <w:b w:val="0"/>
                <w:bCs w:val="0"/>
                <w:sz w:val="24"/>
                <w:szCs w:val="24"/>
              </w:rPr>
            </w:pPr>
            <w:r>
              <w:rPr>
                <w:rFonts w:hint="eastAsia" w:ascii="宋体" w:hAnsi="宋体" w:cs="宋体"/>
                <w:sz w:val="24"/>
                <w:szCs w:val="24"/>
              </w:rPr>
              <w:t>投标截止</w:t>
            </w:r>
            <w:r>
              <w:rPr>
                <w:rFonts w:hint="eastAsia" w:ascii="宋体" w:hAnsi="宋体" w:cs="宋体"/>
                <w:b w:val="0"/>
                <w:bCs w:val="0"/>
                <w:sz w:val="24"/>
                <w:szCs w:val="24"/>
              </w:rPr>
              <w:t>时间：20</w:t>
            </w:r>
            <w:r>
              <w:rPr>
                <w:rFonts w:hint="eastAsia" w:ascii="宋体" w:hAnsi="宋体" w:cs="宋体"/>
                <w:b w:val="0"/>
                <w:bCs w:val="0"/>
                <w:sz w:val="24"/>
                <w:szCs w:val="24"/>
                <w:lang w:val="en-US" w:eastAsia="zh-CN"/>
              </w:rPr>
              <w:t>23</w:t>
            </w:r>
            <w:r>
              <w:rPr>
                <w:rFonts w:hint="eastAsia" w:ascii="宋体" w:hAnsi="宋体" w:cs="宋体"/>
                <w:b w:val="0"/>
                <w:bCs w:val="0"/>
                <w:sz w:val="24"/>
                <w:szCs w:val="24"/>
              </w:rPr>
              <w:t>年</w:t>
            </w:r>
            <w:r>
              <w:rPr>
                <w:rFonts w:hint="eastAsia" w:ascii="宋体" w:hAnsi="宋体" w:cs="宋体"/>
                <w:b w:val="0"/>
                <w:bCs w:val="0"/>
                <w:sz w:val="24"/>
                <w:szCs w:val="24"/>
                <w:lang w:val="en-US" w:eastAsia="zh-CN"/>
              </w:rPr>
              <w:t>6</w:t>
            </w:r>
            <w:r>
              <w:rPr>
                <w:rFonts w:hint="eastAsia" w:ascii="宋体" w:hAnsi="宋体" w:cs="宋体"/>
                <w:b w:val="0"/>
                <w:bCs w:val="0"/>
                <w:sz w:val="24"/>
                <w:szCs w:val="24"/>
              </w:rPr>
              <w:t>月</w:t>
            </w:r>
            <w:r>
              <w:rPr>
                <w:rFonts w:hint="eastAsia" w:ascii="宋体" w:hAnsi="宋体" w:cs="宋体"/>
                <w:b w:val="0"/>
                <w:bCs w:val="0"/>
                <w:sz w:val="24"/>
                <w:szCs w:val="24"/>
                <w:lang w:val="en-US" w:eastAsia="zh-CN"/>
              </w:rPr>
              <w:t xml:space="preserve">18 </w:t>
            </w:r>
            <w:r>
              <w:rPr>
                <w:rFonts w:hint="eastAsia" w:ascii="宋体" w:hAnsi="宋体" w:cs="宋体"/>
                <w:b w:val="0"/>
                <w:bCs w:val="0"/>
                <w:sz w:val="24"/>
                <w:szCs w:val="24"/>
              </w:rPr>
              <w:t>日</w:t>
            </w:r>
            <w:r>
              <w:rPr>
                <w:rFonts w:hint="eastAsia" w:ascii="宋体" w:hAnsi="宋体" w:cs="宋体"/>
                <w:b w:val="0"/>
                <w:bCs w:val="0"/>
                <w:sz w:val="24"/>
                <w:szCs w:val="24"/>
                <w:lang w:val="en-US" w:eastAsia="zh-CN"/>
              </w:rPr>
              <w:t>10</w:t>
            </w:r>
            <w:r>
              <w:rPr>
                <w:rFonts w:hint="eastAsia" w:ascii="宋体" w:hAnsi="宋体" w:cs="宋体"/>
                <w:b w:val="0"/>
                <w:bCs w:val="0"/>
                <w:sz w:val="24"/>
                <w:szCs w:val="24"/>
              </w:rPr>
              <w:t>时00分</w:t>
            </w:r>
          </w:p>
          <w:p>
            <w:pPr>
              <w:spacing w:line="400" w:lineRule="exact"/>
              <w:ind w:left="240" w:hanging="240" w:hangingChars="100"/>
              <w:rPr>
                <w:rFonts w:hint="eastAsia" w:ascii="宋体" w:hAnsi="宋体" w:cs="宋体"/>
                <w:bCs/>
                <w:kern w:val="0"/>
                <w:sz w:val="24"/>
                <w:szCs w:val="24"/>
              </w:rPr>
            </w:pPr>
            <w:r>
              <w:rPr>
                <w:rFonts w:hint="eastAsia" w:ascii="宋体" w:hAnsi="宋体" w:cs="宋体"/>
                <w:b w:val="0"/>
                <w:bCs w:val="0"/>
                <w:sz w:val="24"/>
                <w:szCs w:val="24"/>
              </w:rPr>
              <w:t>（递交时间：20</w:t>
            </w:r>
            <w:r>
              <w:rPr>
                <w:rFonts w:hint="eastAsia" w:ascii="宋体" w:hAnsi="宋体" w:cs="宋体"/>
                <w:b w:val="0"/>
                <w:bCs w:val="0"/>
                <w:sz w:val="24"/>
                <w:szCs w:val="24"/>
                <w:lang w:val="en-US" w:eastAsia="zh-CN"/>
              </w:rPr>
              <w:t>23</w:t>
            </w:r>
            <w:r>
              <w:rPr>
                <w:rFonts w:hint="eastAsia" w:ascii="宋体" w:hAnsi="宋体" w:cs="宋体"/>
                <w:b w:val="0"/>
                <w:bCs w:val="0"/>
                <w:sz w:val="24"/>
                <w:szCs w:val="24"/>
              </w:rPr>
              <w:t>年</w:t>
            </w:r>
            <w:r>
              <w:rPr>
                <w:rFonts w:hint="eastAsia" w:ascii="宋体" w:hAnsi="宋体" w:cs="宋体"/>
                <w:b w:val="0"/>
                <w:bCs w:val="0"/>
                <w:sz w:val="24"/>
                <w:szCs w:val="24"/>
                <w:lang w:val="en-US" w:eastAsia="zh-CN"/>
              </w:rPr>
              <w:t>6</w:t>
            </w:r>
            <w:r>
              <w:rPr>
                <w:rFonts w:hint="eastAsia" w:ascii="宋体" w:hAnsi="宋体" w:cs="宋体"/>
                <w:b w:val="0"/>
                <w:bCs w:val="0"/>
                <w:sz w:val="24"/>
                <w:szCs w:val="24"/>
              </w:rPr>
              <w:t>月</w:t>
            </w:r>
            <w:r>
              <w:rPr>
                <w:rFonts w:hint="eastAsia" w:ascii="宋体" w:hAnsi="宋体" w:cs="宋体"/>
                <w:b w:val="0"/>
                <w:bCs w:val="0"/>
                <w:sz w:val="24"/>
                <w:szCs w:val="24"/>
                <w:lang w:val="en-US" w:eastAsia="zh-CN"/>
              </w:rPr>
              <w:t>18</w:t>
            </w:r>
            <w:r>
              <w:rPr>
                <w:rFonts w:hint="eastAsia" w:ascii="宋体" w:hAnsi="宋体" w:cs="宋体"/>
                <w:b w:val="0"/>
                <w:bCs w:val="0"/>
                <w:sz w:val="24"/>
                <w:szCs w:val="24"/>
              </w:rPr>
              <w:t>日</w:t>
            </w:r>
            <w:r>
              <w:rPr>
                <w:rFonts w:hint="eastAsia" w:ascii="宋体" w:hAnsi="宋体" w:cs="宋体"/>
                <w:b w:val="0"/>
                <w:bCs w:val="0"/>
                <w:sz w:val="24"/>
                <w:szCs w:val="24"/>
                <w:lang w:val="en-US" w:eastAsia="zh-CN"/>
              </w:rPr>
              <w:t>9</w:t>
            </w:r>
            <w:r>
              <w:rPr>
                <w:rFonts w:hint="eastAsia" w:ascii="宋体" w:hAnsi="宋体" w:cs="宋体"/>
                <w:b w:val="0"/>
                <w:bCs w:val="0"/>
                <w:sz w:val="24"/>
                <w:szCs w:val="24"/>
              </w:rPr>
              <w:t>时00分至20</w:t>
            </w:r>
            <w:r>
              <w:rPr>
                <w:rFonts w:hint="eastAsia" w:ascii="宋体" w:hAnsi="宋体" w:cs="宋体"/>
                <w:b w:val="0"/>
                <w:bCs w:val="0"/>
                <w:sz w:val="24"/>
                <w:szCs w:val="24"/>
                <w:lang w:val="en-US" w:eastAsia="zh-CN"/>
              </w:rPr>
              <w:t>23</w:t>
            </w:r>
            <w:r>
              <w:rPr>
                <w:rFonts w:hint="eastAsia" w:ascii="宋体" w:hAnsi="宋体" w:cs="宋体"/>
                <w:b w:val="0"/>
                <w:bCs w:val="0"/>
                <w:sz w:val="24"/>
                <w:szCs w:val="24"/>
              </w:rPr>
              <w:t>年</w:t>
            </w:r>
            <w:r>
              <w:rPr>
                <w:rFonts w:hint="eastAsia" w:ascii="宋体" w:hAnsi="宋体" w:cs="宋体"/>
                <w:b w:val="0"/>
                <w:bCs w:val="0"/>
                <w:sz w:val="24"/>
                <w:szCs w:val="24"/>
                <w:lang w:val="en-US" w:eastAsia="zh-CN"/>
              </w:rPr>
              <w:t>6</w:t>
            </w:r>
            <w:r>
              <w:rPr>
                <w:rFonts w:hint="eastAsia" w:ascii="宋体" w:hAnsi="宋体" w:cs="宋体"/>
                <w:b w:val="0"/>
                <w:bCs w:val="0"/>
                <w:sz w:val="24"/>
                <w:szCs w:val="24"/>
              </w:rPr>
              <w:t>月</w:t>
            </w:r>
            <w:r>
              <w:rPr>
                <w:rFonts w:hint="eastAsia" w:ascii="宋体" w:hAnsi="宋体" w:cs="宋体"/>
                <w:b w:val="0"/>
                <w:bCs w:val="0"/>
                <w:sz w:val="24"/>
                <w:szCs w:val="24"/>
                <w:lang w:val="en-US" w:eastAsia="zh-CN"/>
              </w:rPr>
              <w:t>18</w:t>
            </w:r>
            <w:r>
              <w:rPr>
                <w:rFonts w:hint="eastAsia" w:ascii="宋体" w:hAnsi="宋体" w:cs="宋体"/>
                <w:b w:val="0"/>
                <w:bCs w:val="0"/>
                <w:sz w:val="24"/>
                <w:szCs w:val="24"/>
              </w:rPr>
              <w:t>日</w:t>
            </w:r>
            <w:r>
              <w:rPr>
                <w:rFonts w:hint="eastAsia" w:ascii="宋体" w:hAnsi="宋体" w:cs="宋体"/>
                <w:b w:val="0"/>
                <w:bCs w:val="0"/>
                <w:sz w:val="24"/>
                <w:szCs w:val="24"/>
                <w:lang w:val="en-US" w:eastAsia="zh-CN"/>
              </w:rPr>
              <w:t>10</w:t>
            </w:r>
            <w:r>
              <w:rPr>
                <w:rFonts w:hint="eastAsia" w:ascii="宋体" w:hAnsi="宋体" w:cs="宋体"/>
                <w:b w:val="0"/>
                <w:bCs w:val="0"/>
                <w:sz w:val="24"/>
                <w:szCs w:val="24"/>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bCs/>
                <w:sz w:val="24"/>
                <w:szCs w:val="24"/>
                <w:lang w:val="en-US" w:eastAsia="zh-CN"/>
              </w:rPr>
              <w:t>28</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是否退还响应文件</w:t>
            </w:r>
          </w:p>
        </w:tc>
        <w:tc>
          <w:tcPr>
            <w:tcW w:w="6832" w:type="dxa"/>
            <w:noWrap w:val="0"/>
            <w:vAlign w:val="center"/>
          </w:tcPr>
          <w:p>
            <w:pPr>
              <w:spacing w:line="400" w:lineRule="exact"/>
              <w:rPr>
                <w:rFonts w:hint="eastAsia" w:ascii="宋体" w:hAnsi="宋体" w:cs="宋体"/>
                <w:bCs/>
                <w:kern w:val="0"/>
                <w:sz w:val="24"/>
                <w:szCs w:val="24"/>
              </w:rPr>
            </w:pPr>
            <w:r>
              <w:rPr>
                <w:rFonts w:hint="eastAsia" w:ascii="宋体" w:hAnsi="宋体" w:cs="宋体"/>
                <w:bCs/>
                <w:kern w:val="0"/>
                <w:sz w:val="24"/>
                <w:szCs w:val="24"/>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bCs/>
                <w:sz w:val="24"/>
                <w:szCs w:val="24"/>
                <w:lang w:val="en-US" w:eastAsia="zh-CN"/>
              </w:rPr>
              <w:t>29</w:t>
            </w:r>
          </w:p>
        </w:tc>
        <w:tc>
          <w:tcPr>
            <w:tcW w:w="1908" w:type="dxa"/>
            <w:noWrap w:val="0"/>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付款方式</w:t>
            </w:r>
          </w:p>
        </w:tc>
        <w:tc>
          <w:tcPr>
            <w:tcW w:w="6832" w:type="dxa"/>
            <w:noWrap w:val="0"/>
            <w:vAlign w:val="center"/>
          </w:tcPr>
          <w:p>
            <w:pPr>
              <w:spacing w:line="400" w:lineRule="exact"/>
              <w:ind w:firstLine="240" w:firstLineChars="100"/>
              <w:rPr>
                <w:rFonts w:hint="eastAsia" w:ascii="宋体" w:hAnsi="宋体" w:eastAsia="宋体" w:cs="宋体"/>
                <w:bCs/>
                <w:color w:val="FF0000"/>
                <w:kern w:val="0"/>
                <w:sz w:val="24"/>
                <w:szCs w:val="24"/>
                <w:lang w:eastAsia="zh-CN"/>
              </w:rPr>
            </w:pPr>
            <w:r>
              <w:rPr>
                <w:rFonts w:hint="eastAsia" w:ascii="宋体" w:hAnsi="宋体" w:eastAsia="宋体" w:cs="宋体"/>
                <w:bCs/>
                <w:sz w:val="24"/>
                <w:szCs w:val="24"/>
              </w:rPr>
              <w:t>验收</w:t>
            </w:r>
            <w:r>
              <w:rPr>
                <w:rFonts w:hint="eastAsia" w:ascii="宋体" w:hAnsi="宋体" w:eastAsia="宋体" w:cs="宋体"/>
                <w:bCs/>
                <w:sz w:val="24"/>
                <w:szCs w:val="24"/>
                <w:lang w:val="en-US" w:eastAsia="zh-CN"/>
              </w:rPr>
              <w:t>合格</w:t>
            </w:r>
            <w:r>
              <w:rPr>
                <w:rFonts w:hint="eastAsia" w:ascii="宋体" w:hAnsi="宋体" w:eastAsia="宋体" w:cs="宋体"/>
                <w:bCs/>
                <w:sz w:val="24"/>
                <w:szCs w:val="24"/>
              </w:rPr>
              <w:t>后一次性付清</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bCs/>
                <w:sz w:val="24"/>
                <w:szCs w:val="24"/>
                <w:lang w:eastAsia="zh-CN"/>
              </w:rPr>
            </w:pPr>
            <w:r>
              <w:rPr>
                <w:rFonts w:hint="eastAsia" w:ascii="宋体" w:hAnsi="宋体" w:cs="宋体"/>
                <w:bCs/>
                <w:sz w:val="24"/>
                <w:szCs w:val="24"/>
              </w:rPr>
              <w:t>3</w:t>
            </w:r>
            <w:r>
              <w:rPr>
                <w:rFonts w:hint="eastAsia" w:ascii="宋体" w:hAnsi="宋体" w:cs="宋体"/>
                <w:bCs/>
                <w:sz w:val="24"/>
                <w:szCs w:val="24"/>
                <w:lang w:val="en-US" w:eastAsia="zh-CN"/>
              </w:rPr>
              <w:t>0</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谈判时间和地点</w:t>
            </w:r>
          </w:p>
        </w:tc>
        <w:tc>
          <w:tcPr>
            <w:tcW w:w="6832" w:type="dxa"/>
            <w:noWrap w:val="0"/>
            <w:vAlign w:val="center"/>
          </w:tcPr>
          <w:p>
            <w:pPr>
              <w:spacing w:line="400" w:lineRule="exact"/>
              <w:rPr>
                <w:rFonts w:hint="eastAsia" w:ascii="宋体" w:hAnsi="宋体" w:cs="宋体"/>
                <w:color w:val="FF0000"/>
                <w:sz w:val="24"/>
                <w:szCs w:val="24"/>
              </w:rPr>
            </w:pPr>
            <w:r>
              <w:rPr>
                <w:rFonts w:hint="eastAsia" w:ascii="宋体" w:hAnsi="宋体" w:cs="宋体"/>
                <w:sz w:val="24"/>
                <w:szCs w:val="24"/>
              </w:rPr>
              <w:t>谈判时间：</w:t>
            </w:r>
            <w:r>
              <w:rPr>
                <w:rFonts w:hint="eastAsia" w:ascii="宋体" w:hAnsi="宋体" w:cs="宋体"/>
                <w:b w:val="0"/>
                <w:bCs w:val="0"/>
                <w:sz w:val="24"/>
                <w:szCs w:val="24"/>
              </w:rPr>
              <w:t>20</w:t>
            </w:r>
            <w:r>
              <w:rPr>
                <w:rFonts w:hint="eastAsia" w:ascii="宋体" w:hAnsi="宋体" w:cs="宋体"/>
                <w:b w:val="0"/>
                <w:bCs w:val="0"/>
                <w:sz w:val="24"/>
                <w:szCs w:val="24"/>
                <w:lang w:val="en-US" w:eastAsia="zh-CN"/>
              </w:rPr>
              <w:t>23</w:t>
            </w:r>
            <w:r>
              <w:rPr>
                <w:rFonts w:hint="eastAsia" w:ascii="宋体" w:hAnsi="宋体" w:cs="宋体"/>
                <w:b w:val="0"/>
                <w:bCs w:val="0"/>
                <w:sz w:val="24"/>
                <w:szCs w:val="24"/>
              </w:rPr>
              <w:t>年</w:t>
            </w:r>
            <w:r>
              <w:rPr>
                <w:rFonts w:hint="eastAsia" w:ascii="宋体" w:hAnsi="宋体" w:cs="宋体"/>
                <w:b w:val="0"/>
                <w:bCs w:val="0"/>
                <w:sz w:val="24"/>
                <w:szCs w:val="24"/>
                <w:lang w:val="en-US" w:eastAsia="zh-CN"/>
              </w:rPr>
              <w:t>6</w:t>
            </w:r>
            <w:r>
              <w:rPr>
                <w:rFonts w:hint="eastAsia" w:ascii="宋体" w:hAnsi="宋体" w:cs="宋体"/>
                <w:b w:val="0"/>
                <w:bCs w:val="0"/>
                <w:sz w:val="24"/>
                <w:szCs w:val="24"/>
              </w:rPr>
              <w:t>月</w:t>
            </w:r>
            <w:r>
              <w:rPr>
                <w:rFonts w:hint="eastAsia" w:ascii="宋体" w:hAnsi="宋体" w:cs="宋体"/>
                <w:b w:val="0"/>
                <w:bCs w:val="0"/>
                <w:sz w:val="24"/>
                <w:szCs w:val="24"/>
                <w:lang w:val="en-US" w:eastAsia="zh-CN"/>
              </w:rPr>
              <w:t xml:space="preserve">18 </w:t>
            </w:r>
            <w:r>
              <w:rPr>
                <w:rFonts w:hint="eastAsia" w:ascii="宋体" w:hAnsi="宋体" w:cs="宋体"/>
                <w:b w:val="0"/>
                <w:bCs w:val="0"/>
                <w:sz w:val="24"/>
                <w:szCs w:val="24"/>
              </w:rPr>
              <w:t>日</w:t>
            </w:r>
            <w:r>
              <w:rPr>
                <w:rFonts w:hint="eastAsia" w:ascii="宋体" w:hAnsi="宋体" w:cs="宋体"/>
                <w:b w:val="0"/>
                <w:bCs w:val="0"/>
                <w:sz w:val="24"/>
                <w:szCs w:val="24"/>
                <w:lang w:val="en-US" w:eastAsia="zh-CN"/>
              </w:rPr>
              <w:t>10</w:t>
            </w:r>
            <w:r>
              <w:rPr>
                <w:rFonts w:hint="eastAsia" w:ascii="宋体" w:hAnsi="宋体" w:cs="宋体"/>
                <w:b w:val="0"/>
                <w:bCs w:val="0"/>
                <w:sz w:val="24"/>
                <w:szCs w:val="24"/>
              </w:rPr>
              <w:t>时00分</w:t>
            </w:r>
            <w:r>
              <w:rPr>
                <w:rFonts w:hint="eastAsia" w:ascii="宋体" w:hAnsi="宋体" w:cs="宋体"/>
                <w:sz w:val="24"/>
                <w:szCs w:val="24"/>
              </w:rPr>
              <w:t>（北京时间）</w:t>
            </w:r>
          </w:p>
          <w:p>
            <w:pPr>
              <w:spacing w:line="400" w:lineRule="exact"/>
              <w:ind w:right="113"/>
              <w:rPr>
                <w:rFonts w:hint="eastAsia" w:ascii="宋体" w:hAnsi="宋体" w:cs="宋体"/>
                <w:sz w:val="24"/>
                <w:szCs w:val="24"/>
              </w:rPr>
            </w:pPr>
            <w:r>
              <w:rPr>
                <w:rFonts w:hint="eastAsia" w:ascii="宋体" w:hAnsi="宋体" w:cs="宋体"/>
                <w:sz w:val="24"/>
                <w:szCs w:val="24"/>
              </w:rPr>
              <w:t>谈判地点：</w:t>
            </w:r>
            <w:r>
              <w:rPr>
                <w:rFonts w:hint="eastAsia" w:ascii="宋体" w:hAnsi="宋体" w:cs="宋体"/>
                <w:sz w:val="24"/>
                <w:szCs w:val="24"/>
                <w:lang w:eastAsia="zh-CN"/>
              </w:rPr>
              <w:t>阜阳工业经济学校南校区行政楼</w:t>
            </w:r>
            <w:r>
              <w:rPr>
                <w:rFonts w:hint="eastAsia" w:ascii="宋体" w:hAnsi="宋体" w:cs="宋体"/>
                <w:sz w:val="24"/>
                <w:szCs w:val="24"/>
                <w:lang w:val="en-US" w:eastAsia="zh-CN"/>
              </w:rPr>
              <w:t>四</w:t>
            </w:r>
            <w:r>
              <w:rPr>
                <w:rFonts w:hint="eastAsia" w:ascii="宋体" w:hAnsi="宋体" w:cs="宋体"/>
                <w:sz w:val="24"/>
                <w:szCs w:val="24"/>
                <w:lang w:eastAsia="zh-CN"/>
              </w:rPr>
              <w:t>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1</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谈判顺序</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密封情况检查：供应商检查</w:t>
            </w:r>
          </w:p>
          <w:p>
            <w:pPr>
              <w:spacing w:line="400" w:lineRule="exact"/>
              <w:ind w:left="105" w:leftChars="50" w:right="113"/>
              <w:rPr>
                <w:rFonts w:hint="eastAsia" w:ascii="宋体" w:hAnsi="宋体" w:cs="宋体"/>
                <w:sz w:val="24"/>
                <w:szCs w:val="24"/>
              </w:rPr>
            </w:pPr>
            <w:r>
              <w:rPr>
                <w:rFonts w:hint="eastAsia" w:ascii="宋体" w:hAnsi="宋体" w:cs="宋体"/>
                <w:sz w:val="24"/>
                <w:szCs w:val="24"/>
              </w:rPr>
              <w:t>谈判顺序：按响应文件递交的先后顺序进行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2</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rPr>
              <w:t>供应商参加谈判会议的要求</w:t>
            </w:r>
          </w:p>
        </w:tc>
        <w:tc>
          <w:tcPr>
            <w:tcW w:w="6832" w:type="dxa"/>
            <w:noWrap w:val="0"/>
            <w:vAlign w:val="center"/>
          </w:tcPr>
          <w:p>
            <w:pPr>
              <w:shd w:val="clear" w:color="auto" w:fill="FFFFFF"/>
              <w:snapToGrid w:val="0"/>
              <w:spacing w:line="420" w:lineRule="exact"/>
              <w:rPr>
                <w:rFonts w:ascii="宋体" w:hAnsi="宋体" w:cs="宋体"/>
                <w:sz w:val="24"/>
                <w:szCs w:val="24"/>
              </w:rPr>
            </w:pPr>
            <w:r>
              <w:rPr>
                <w:rFonts w:hint="eastAsia" w:ascii="宋体" w:hAnsi="宋体" w:cs="宋体"/>
                <w:sz w:val="24"/>
                <w:szCs w:val="24"/>
              </w:rPr>
              <w:t>供应商凭以下资料递交响应文件：</w:t>
            </w:r>
          </w:p>
          <w:p>
            <w:pPr>
              <w:spacing w:line="400" w:lineRule="exact"/>
              <w:ind w:left="105" w:leftChars="50" w:right="113"/>
              <w:rPr>
                <w:rFonts w:hint="eastAsia" w:ascii="宋体" w:hAnsi="宋体" w:cs="宋体"/>
                <w:bCs/>
                <w:sz w:val="24"/>
                <w:szCs w:val="24"/>
              </w:rPr>
            </w:pPr>
            <w:r>
              <w:rPr>
                <w:rFonts w:hint="eastAsia" w:ascii="宋体" w:hAnsi="宋体" w:cs="宋体"/>
                <w:sz w:val="24"/>
                <w:szCs w:val="24"/>
              </w:rPr>
              <w:t>①法人授权委托书原件；②法定代表人身份证原件或被授权人身份证原件；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3</w:t>
            </w:r>
          </w:p>
        </w:tc>
        <w:tc>
          <w:tcPr>
            <w:tcW w:w="1908"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谈判小组的组建</w:t>
            </w:r>
          </w:p>
        </w:tc>
        <w:tc>
          <w:tcPr>
            <w:tcW w:w="6832" w:type="dxa"/>
            <w:noWrap w:val="0"/>
            <w:vAlign w:val="center"/>
          </w:tcPr>
          <w:p>
            <w:pPr>
              <w:spacing w:line="400" w:lineRule="exact"/>
              <w:ind w:firstLine="120" w:firstLineChars="50"/>
              <w:rPr>
                <w:rFonts w:hint="eastAsia" w:ascii="宋体" w:hAnsi="宋体" w:cs="宋体"/>
                <w:sz w:val="24"/>
                <w:szCs w:val="24"/>
              </w:rPr>
            </w:pPr>
            <w:r>
              <w:rPr>
                <w:rFonts w:hint="eastAsia" w:ascii="宋体" w:hAnsi="宋体" w:cs="宋体"/>
                <w:bCs/>
                <w:sz w:val="24"/>
                <w:szCs w:val="24"/>
              </w:rPr>
              <w:t>谈判小组构成：3 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532" w:type="dxa"/>
            <w:gridSpan w:val="3"/>
            <w:noWrap w:val="0"/>
            <w:vAlign w:val="center"/>
          </w:tcPr>
          <w:p>
            <w:pPr>
              <w:spacing w:line="400" w:lineRule="exact"/>
              <w:rPr>
                <w:rFonts w:hint="eastAsia" w:ascii="宋体" w:hAnsi="宋体" w:cs="宋体"/>
                <w:bCs/>
                <w:sz w:val="24"/>
                <w:szCs w:val="24"/>
              </w:rPr>
            </w:pPr>
            <w:r>
              <w:rPr>
                <w:rFonts w:hint="eastAsia" w:ascii="宋体" w:hAnsi="宋体" w:cs="宋体"/>
                <w:sz w:val="24"/>
                <w:szCs w:val="24"/>
              </w:rPr>
              <w:t xml:space="preserve">  3</w:t>
            </w:r>
            <w:r>
              <w:rPr>
                <w:rFonts w:hint="eastAsia" w:ascii="宋体" w:hAnsi="宋体" w:cs="宋体"/>
                <w:sz w:val="24"/>
                <w:szCs w:val="24"/>
                <w:lang w:val="en-US" w:eastAsia="zh-CN"/>
              </w:rPr>
              <w:t>4</w:t>
            </w:r>
            <w:r>
              <w:rPr>
                <w:rFonts w:hint="eastAsia" w:ascii="宋体" w:hAnsi="宋体" w:cs="宋体"/>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ind w:firstLine="240" w:firstLineChars="100"/>
              <w:rPr>
                <w:rFonts w:hint="eastAsia" w:ascii="宋体" w:hAnsi="宋体" w:cs="宋体"/>
                <w:bCs/>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.1</w:t>
            </w:r>
          </w:p>
        </w:tc>
        <w:tc>
          <w:tcPr>
            <w:tcW w:w="1908" w:type="dxa"/>
            <w:noWrap w:val="0"/>
            <w:vAlign w:val="center"/>
          </w:tcPr>
          <w:p>
            <w:pPr>
              <w:spacing w:line="400" w:lineRule="exact"/>
              <w:ind w:left="105" w:leftChars="50" w:right="113"/>
              <w:jc w:val="center"/>
              <w:rPr>
                <w:rFonts w:hint="eastAsia" w:ascii="宋体" w:hAnsi="宋体" w:cs="宋体"/>
                <w:sz w:val="24"/>
                <w:szCs w:val="24"/>
              </w:rPr>
            </w:pPr>
            <w:r>
              <w:rPr>
                <w:rFonts w:hint="eastAsia" w:ascii="宋体" w:hAnsi="宋体" w:cs="宋体"/>
                <w:sz w:val="24"/>
                <w:szCs w:val="24"/>
              </w:rPr>
              <w:t>时间规定</w:t>
            </w:r>
          </w:p>
        </w:tc>
        <w:tc>
          <w:tcPr>
            <w:tcW w:w="6832" w:type="dxa"/>
            <w:noWrap w:val="0"/>
            <w:vAlign w:val="center"/>
          </w:tcPr>
          <w:p>
            <w:pPr>
              <w:spacing w:line="400" w:lineRule="exact"/>
              <w:ind w:left="105" w:leftChars="50" w:right="113"/>
              <w:rPr>
                <w:rFonts w:hint="eastAsia" w:ascii="宋体" w:hAnsi="宋体" w:cs="宋体"/>
                <w:sz w:val="24"/>
                <w:szCs w:val="24"/>
              </w:rPr>
            </w:pPr>
            <w:r>
              <w:rPr>
                <w:rFonts w:hint="eastAsia" w:ascii="宋体" w:hAnsi="宋体" w:cs="宋体"/>
                <w:sz w:val="24"/>
                <w:szCs w:val="24"/>
              </w:rPr>
              <w:t>如无特别说明，本竞争性谈判文件 “近3年” 所指范围为“自公告发布之日起向前追溯3年”， “近5年” 所指范围为“自公告发布之日起向前追溯5年”后文不再另行说明。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532" w:type="dxa"/>
            <w:gridSpan w:val="3"/>
            <w:noWrap w:val="0"/>
            <w:vAlign w:val="center"/>
          </w:tcPr>
          <w:p>
            <w:pPr>
              <w:spacing w:line="400" w:lineRule="exact"/>
              <w:ind w:right="113"/>
              <w:rPr>
                <w:rFonts w:hint="eastAsia" w:ascii="宋体" w:hAnsi="宋体" w:cs="宋体"/>
                <w:b/>
                <w:sz w:val="24"/>
                <w:szCs w:val="24"/>
                <w:u w:val="thick"/>
              </w:rPr>
            </w:pPr>
            <w:r>
              <w:rPr>
                <w:rFonts w:hint="eastAsia" w:ascii="宋体" w:hAnsi="宋体" w:cs="宋体"/>
                <w:sz w:val="24"/>
                <w:szCs w:val="24"/>
              </w:rPr>
              <w:t xml:space="preserve"> 3</w:t>
            </w:r>
            <w:r>
              <w:rPr>
                <w:rFonts w:hint="eastAsia" w:ascii="宋体" w:hAnsi="宋体" w:cs="宋体"/>
                <w:sz w:val="24"/>
                <w:szCs w:val="24"/>
                <w:lang w:val="en-US" w:eastAsia="zh-CN"/>
              </w:rPr>
              <w:t>5</w:t>
            </w:r>
            <w:r>
              <w:rPr>
                <w:rFonts w:hint="eastAsia" w:ascii="宋体" w:hAnsi="宋体" w:cs="宋体"/>
                <w:sz w:val="24"/>
                <w:szCs w:val="24"/>
              </w:rPr>
              <w:t xml:space="preserve">.最高响应上限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.1</w:t>
            </w:r>
          </w:p>
        </w:tc>
        <w:tc>
          <w:tcPr>
            <w:tcW w:w="1908" w:type="dxa"/>
            <w:noWrap w:val="0"/>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最高响应上限</w:t>
            </w:r>
          </w:p>
        </w:tc>
        <w:tc>
          <w:tcPr>
            <w:tcW w:w="6832" w:type="dxa"/>
            <w:noWrap w:val="0"/>
            <w:vAlign w:val="center"/>
          </w:tcPr>
          <w:p>
            <w:pPr>
              <w:spacing w:line="400" w:lineRule="exact"/>
              <w:rPr>
                <w:rFonts w:hint="eastAsia" w:ascii="宋体" w:hAnsi="宋体" w:cs="宋体"/>
                <w:b/>
                <w:sz w:val="24"/>
                <w:szCs w:val="24"/>
              </w:rPr>
            </w:pPr>
            <w:r>
              <w:rPr>
                <w:rFonts w:hint="eastAsia" w:ascii="宋体" w:hAnsi="宋体" w:cs="宋体"/>
                <w:b/>
                <w:sz w:val="24"/>
                <w:szCs w:val="24"/>
              </w:rPr>
              <w:t>最高响应上限为：</w:t>
            </w:r>
            <w:r>
              <w:rPr>
                <w:rFonts w:hint="eastAsia" w:ascii="宋体" w:hAnsi="宋体" w:cs="宋体"/>
                <w:b/>
                <w:sz w:val="24"/>
                <w:szCs w:val="24"/>
                <w:lang w:val="en-US" w:eastAsia="zh-CN"/>
              </w:rPr>
              <w:t>20200.00</w:t>
            </w:r>
            <w:r>
              <w:rPr>
                <w:rFonts w:hint="eastAsia" w:ascii="宋体" w:hAnsi="宋体" w:cs="宋体"/>
                <w:b/>
                <w:sz w:val="24"/>
                <w:szCs w:val="24"/>
              </w:rPr>
              <w:t>元；</w:t>
            </w:r>
          </w:p>
          <w:p>
            <w:pPr>
              <w:spacing w:line="400" w:lineRule="exact"/>
              <w:rPr>
                <w:rFonts w:hint="eastAsia" w:ascii="宋体" w:hAnsi="宋体" w:cs="宋体"/>
                <w:bCs/>
                <w:sz w:val="24"/>
                <w:szCs w:val="24"/>
              </w:rPr>
            </w:pPr>
            <w:r>
              <w:rPr>
                <w:rFonts w:hint="eastAsia" w:ascii="宋体" w:hAnsi="宋体" w:cs="宋体"/>
                <w:b/>
                <w:sz w:val="24"/>
                <w:szCs w:val="24"/>
              </w:rPr>
              <w:t>响应报价高于或等于最高响应上限的响应文件，均按无效标处理。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w:t>
            </w:r>
          </w:p>
        </w:tc>
        <w:tc>
          <w:tcPr>
            <w:tcW w:w="8740" w:type="dxa"/>
            <w:gridSpan w:val="2"/>
            <w:noWrap w:val="0"/>
            <w:vAlign w:val="center"/>
          </w:tcPr>
          <w:p>
            <w:pPr>
              <w:spacing w:line="400" w:lineRule="exact"/>
              <w:rPr>
                <w:rFonts w:hint="eastAsia" w:ascii="宋体" w:hAnsi="宋体" w:cs="宋体"/>
                <w:bCs/>
                <w:kern w:val="0"/>
                <w:sz w:val="24"/>
                <w:szCs w:val="24"/>
                <w:u w:val="single"/>
              </w:rPr>
            </w:pPr>
            <w:r>
              <w:rPr>
                <w:rFonts w:hint="eastAsia" w:ascii="宋体" w:hAnsi="宋体" w:cs="宋体"/>
                <w:sz w:val="24"/>
                <w:szCs w:val="24"/>
              </w:rPr>
              <w:t>竞争性谈判文件的澄清、修改将在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站（http://www.fycx.com.cn）上</w:t>
            </w:r>
            <w:r>
              <w:rPr>
                <w:rFonts w:hint="eastAsia" w:ascii="宋体" w:hAnsi="宋体" w:cs="宋体"/>
                <w:sz w:val="24"/>
                <w:szCs w:val="24"/>
              </w:rPr>
              <w:t>发布。所有购买竞争性谈判文件的供应商自行在网上查询或到</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w:t>
            </w:r>
            <w:r>
              <w:rPr>
                <w:rFonts w:hint="eastAsia" w:ascii="宋体" w:hAnsi="宋体" w:cs="宋体"/>
                <w:sz w:val="24"/>
                <w:szCs w:val="24"/>
              </w:rPr>
              <w:t>查看，无需以书面形式回复。采购代理机构将不再另行通知各供应商。供应商对竞争性谈判文件的澄清、修改及最低响应下限未能及时查询的，由此引起的一切责任均由供应商自行负责。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37</w:t>
            </w:r>
          </w:p>
        </w:tc>
        <w:tc>
          <w:tcPr>
            <w:tcW w:w="8740" w:type="dxa"/>
            <w:gridSpan w:val="2"/>
            <w:noWrap w:val="0"/>
            <w:vAlign w:val="center"/>
          </w:tcPr>
          <w:p>
            <w:pPr>
              <w:pStyle w:val="67"/>
              <w:spacing w:line="440" w:lineRule="atLeast"/>
              <w:rPr>
                <w:rFonts w:hint="eastAsia" w:ascii="宋体" w:hAnsi="宋体" w:cs="宋体"/>
                <w:kern w:val="2"/>
                <w:sz w:val="24"/>
                <w:szCs w:val="24"/>
              </w:rPr>
            </w:pPr>
            <w:r>
              <w:rPr>
                <w:rFonts w:hint="eastAsia" w:ascii="宋体" w:hAnsi="宋体" w:cs="宋体"/>
                <w:kern w:val="2"/>
                <w:sz w:val="24"/>
                <w:szCs w:val="24"/>
              </w:rPr>
              <w:t>废标条款</w:t>
            </w:r>
          </w:p>
          <w:p>
            <w:pPr>
              <w:spacing w:line="360" w:lineRule="auto"/>
              <w:ind w:firstLine="470" w:firstLineChars="196"/>
              <w:jc w:val="left"/>
              <w:outlineLvl w:val="3"/>
              <w:rPr>
                <w:rFonts w:hint="eastAsia" w:ascii="宋体" w:hAnsi="宋体" w:cs="宋体"/>
                <w:sz w:val="24"/>
                <w:szCs w:val="24"/>
              </w:rPr>
            </w:pPr>
            <w:r>
              <w:rPr>
                <w:rFonts w:hint="eastAsia" w:ascii="宋体" w:hAnsi="宋体" w:cs="宋体"/>
                <w:sz w:val="24"/>
                <w:szCs w:val="24"/>
              </w:rPr>
              <w:t>供应商有以下情形之一的，初步评审后其投标作废标处理：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串通投标行为是指：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（a）不同供应商的响应文件内容存在非正常一致的；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（b）不同供应商的响应报价或报价组成异常一致或呈规律性变化的；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（c）不同供应商委托同一人投标或与同一人联合响应的；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（d）不同供应商的响应文件载明的项目管理班子成员出现同一人的；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（e）不同供应商的响应文件相互混装的；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（f）不同供应商使用同一人或企业资金缴纳谈判保证金的；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（g）不同供应商聘请同一人或同一中介机构为其投标提供技术或经济咨询服务的；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（2）凡在阜阳市行政区域内被各级招投标监督部门或行业主管部门处罚，列入不良记录且在处罚期内的。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(3）不按评审委员会要求澄清、说明或补正的。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(4)投标函中响应报价、服务期、质量标准或其它实质性要求不能满足竞争性谈判文件要求,或作出的承诺与竞争性谈判文件中提供的投标函样本中相关内容相抵触或有遗漏的。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 未按规定的格式填写，实质性内容不全或关键字迹模糊、无法辨认的。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(6)供应商递交两份或多份内容不同的响应文件，或在一份响应文件中对同一采购项目报有两个或多个报价，且未声明哪一个有效的。按竞争性谈判文件规定提交备选响应方案的除外。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 响应文件中存在采购人不能接受的其它实质性条件。</w:t>
            </w:r>
          </w:p>
          <w:p>
            <w:pPr>
              <w:spacing w:line="360" w:lineRule="auto"/>
              <w:ind w:firstLine="470" w:firstLineChars="196"/>
              <w:jc w:val="left"/>
              <w:outlineLvl w:val="3"/>
              <w:rPr>
                <w:rFonts w:hint="eastAsia" w:ascii="宋体" w:hAnsi="宋体" w:cs="宋体"/>
                <w:sz w:val="24"/>
                <w:szCs w:val="24"/>
              </w:rPr>
            </w:pPr>
            <w:r>
              <w:rPr>
                <w:rFonts w:hint="eastAsia" w:ascii="宋体" w:hAnsi="宋体" w:cs="宋体"/>
                <w:sz w:val="24"/>
                <w:szCs w:val="24"/>
              </w:rPr>
              <w:t>供应商有以下情形之一的，作否决其响应处理：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(1)响应报价等于或高于控制价的。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(2)供应商拒不按照要求对响应文件进行澄清、说明、补正的。</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（3）法律、法规规定的其它情形。</w:t>
            </w:r>
          </w:p>
        </w:tc>
      </w:tr>
    </w:tbl>
    <w:p>
      <w:pPr>
        <w:rPr>
          <w:rFonts w:hint="eastAsia"/>
        </w:rPr>
      </w:pPr>
      <w:bookmarkStart w:id="6" w:name="_Toc12615"/>
      <w:bookmarkStart w:id="7" w:name="_Toc144974497"/>
      <w:bookmarkStart w:id="8" w:name="_Toc152045529"/>
      <w:bookmarkStart w:id="9" w:name="_Toc21045"/>
      <w:bookmarkStart w:id="10" w:name="_Toc1284"/>
      <w:bookmarkStart w:id="11" w:name="_Toc179632546"/>
      <w:bookmarkStart w:id="12" w:name="_Toc152042305"/>
    </w:p>
    <w:bookmarkEnd w:id="6"/>
    <w:bookmarkEnd w:id="7"/>
    <w:bookmarkEnd w:id="8"/>
    <w:bookmarkEnd w:id="9"/>
    <w:bookmarkEnd w:id="10"/>
    <w:bookmarkEnd w:id="11"/>
    <w:bookmarkEnd w:id="12"/>
    <w:p>
      <w:pPr>
        <w:keepNext/>
        <w:keepLines/>
        <w:spacing w:before="20" w:after="20" w:line="360" w:lineRule="auto"/>
        <w:jc w:val="center"/>
        <w:outlineLvl w:val="2"/>
        <w:rPr>
          <w:rFonts w:hint="eastAsia" w:ascii="黑体" w:eastAsia="黑体" w:cs="宋体"/>
          <w:b/>
          <w:bCs/>
          <w:color w:val="000000"/>
          <w:sz w:val="28"/>
          <w:szCs w:val="28"/>
        </w:rPr>
      </w:pPr>
      <w:bookmarkStart w:id="13" w:name="_Hlt509649998"/>
      <w:bookmarkEnd w:id="13"/>
      <w:bookmarkStart w:id="14" w:name="_Hlt509650126"/>
      <w:bookmarkEnd w:id="14"/>
      <w:bookmarkStart w:id="15" w:name="_Hlt509649722"/>
      <w:bookmarkEnd w:id="15"/>
      <w:bookmarkStart w:id="16" w:name="_Hlt526418143"/>
      <w:bookmarkEnd w:id="16"/>
      <w:bookmarkStart w:id="17" w:name="_Hlt509650686"/>
      <w:bookmarkEnd w:id="17"/>
      <w:bookmarkStart w:id="18" w:name="_Hlt509650955"/>
      <w:bookmarkEnd w:id="18"/>
      <w:bookmarkStart w:id="19" w:name="_Toc22351"/>
      <w:bookmarkStart w:id="20" w:name="_Toc448070712"/>
      <w:bookmarkStart w:id="21" w:name="_Toc465933788"/>
      <w:r>
        <w:rPr>
          <w:rFonts w:hint="eastAsia" w:ascii="黑体" w:eastAsia="黑体" w:cs="宋体"/>
          <w:b/>
          <w:bCs/>
          <w:color w:val="000000"/>
          <w:sz w:val="28"/>
          <w:szCs w:val="28"/>
        </w:rPr>
        <w:t>1．总  则</w:t>
      </w:r>
      <w:bookmarkEnd w:id="19"/>
      <w:bookmarkEnd w:id="20"/>
    </w:p>
    <w:p>
      <w:pPr>
        <w:spacing w:line="440" w:lineRule="exact"/>
        <w:rPr>
          <w:rFonts w:hint="eastAsia" w:ascii="宋体" w:hAnsi="宋体"/>
          <w:b/>
          <w:color w:val="000000"/>
          <w:sz w:val="24"/>
          <w:szCs w:val="24"/>
        </w:rPr>
      </w:pPr>
      <w:r>
        <w:rPr>
          <w:rFonts w:hint="eastAsia" w:ascii="宋体" w:hAnsi="宋体"/>
          <w:color w:val="000000"/>
        </w:rPr>
        <w:t xml:space="preserve">   </w:t>
      </w:r>
      <w:r>
        <w:rPr>
          <w:rFonts w:hint="eastAsia" w:ascii="宋体" w:hAnsi="宋体"/>
          <w:b/>
          <w:color w:val="000000"/>
        </w:rPr>
        <w:t xml:space="preserve"> </w:t>
      </w:r>
      <w:r>
        <w:rPr>
          <w:rFonts w:hint="eastAsia" w:ascii="宋体" w:hAnsi="宋体"/>
          <w:b/>
          <w:color w:val="000000"/>
          <w:sz w:val="24"/>
          <w:szCs w:val="24"/>
        </w:rPr>
        <w:t>1.1项目概况</w:t>
      </w:r>
    </w:p>
    <w:p>
      <w:pPr>
        <w:spacing w:line="440" w:lineRule="exact"/>
        <w:rPr>
          <w:rFonts w:hint="eastAsia" w:ascii="宋体" w:hAnsi="宋体"/>
          <w:color w:val="000000"/>
          <w:sz w:val="24"/>
          <w:szCs w:val="24"/>
        </w:rPr>
      </w:pPr>
      <w:r>
        <w:rPr>
          <w:rFonts w:hint="eastAsia" w:ascii="宋体" w:hAnsi="宋体"/>
          <w:color w:val="000000"/>
          <w:sz w:val="24"/>
          <w:szCs w:val="24"/>
        </w:rPr>
        <w:t xml:space="preserve">    1.1.1根据有关法律、法规和规章的规定，本采购项目已具备招标条件，现对本项目进行竞争性谈判。</w:t>
      </w:r>
    </w:p>
    <w:p>
      <w:pPr>
        <w:spacing w:line="440" w:lineRule="exact"/>
        <w:rPr>
          <w:rFonts w:hint="eastAsia" w:ascii="宋体" w:hAnsi="宋体"/>
          <w:color w:val="000000"/>
          <w:sz w:val="24"/>
          <w:szCs w:val="24"/>
        </w:rPr>
      </w:pPr>
      <w:r>
        <w:rPr>
          <w:rFonts w:hint="eastAsia" w:ascii="宋体" w:hAnsi="宋体"/>
          <w:color w:val="000000"/>
          <w:sz w:val="24"/>
          <w:szCs w:val="24"/>
        </w:rPr>
        <w:t xml:space="preserve">    1.1.2本采购项目采购人：见供应商须知前附表。</w:t>
      </w:r>
    </w:p>
    <w:p>
      <w:pPr>
        <w:spacing w:line="440" w:lineRule="exact"/>
        <w:rPr>
          <w:rFonts w:hint="eastAsia" w:ascii="宋体" w:hAnsi="宋体"/>
          <w:color w:val="000000"/>
          <w:sz w:val="24"/>
          <w:szCs w:val="24"/>
        </w:rPr>
      </w:pPr>
      <w:r>
        <w:rPr>
          <w:rFonts w:hint="eastAsia" w:ascii="宋体" w:hAnsi="宋体"/>
          <w:color w:val="000000"/>
          <w:sz w:val="24"/>
          <w:szCs w:val="24"/>
        </w:rPr>
        <w:t xml:space="preserve">    1.1.3本采购项目名称：见供应商须知前附表。</w:t>
      </w:r>
    </w:p>
    <w:p>
      <w:pPr>
        <w:spacing w:line="440" w:lineRule="exact"/>
        <w:rPr>
          <w:rFonts w:hint="eastAsia" w:ascii="宋体" w:hAnsi="宋体"/>
          <w:color w:val="000000"/>
          <w:sz w:val="24"/>
          <w:szCs w:val="24"/>
        </w:rPr>
      </w:pPr>
      <w:r>
        <w:rPr>
          <w:rFonts w:hint="eastAsia" w:ascii="宋体" w:hAnsi="宋体"/>
          <w:color w:val="000000"/>
          <w:sz w:val="24"/>
          <w:szCs w:val="24"/>
        </w:rPr>
        <w:t xml:space="preserve">    1.1.4本采购项目地点：采购人指定的地方</w:t>
      </w:r>
    </w:p>
    <w:p>
      <w:pPr>
        <w:spacing w:line="440" w:lineRule="exact"/>
        <w:ind w:firstLine="361" w:firstLineChars="150"/>
        <w:rPr>
          <w:rFonts w:hint="eastAsia" w:ascii="宋体" w:hAnsi="宋体"/>
          <w:b/>
          <w:color w:val="000000"/>
          <w:sz w:val="24"/>
          <w:szCs w:val="24"/>
        </w:rPr>
      </w:pPr>
      <w:r>
        <w:rPr>
          <w:rFonts w:hint="eastAsia" w:ascii="宋体" w:hAnsi="宋体"/>
          <w:b/>
          <w:color w:val="000000"/>
          <w:sz w:val="24"/>
          <w:szCs w:val="24"/>
        </w:rPr>
        <w:t xml:space="preserve"> 1.2资金来源和落实情况</w:t>
      </w:r>
    </w:p>
    <w:p>
      <w:pPr>
        <w:spacing w:line="440" w:lineRule="exact"/>
        <w:rPr>
          <w:rFonts w:hint="eastAsia" w:ascii="宋体" w:hAnsi="宋体"/>
          <w:color w:val="000000"/>
          <w:sz w:val="24"/>
          <w:szCs w:val="24"/>
        </w:rPr>
      </w:pPr>
      <w:r>
        <w:rPr>
          <w:rFonts w:hint="eastAsia" w:ascii="宋体" w:hAnsi="宋体"/>
          <w:color w:val="000000"/>
          <w:sz w:val="24"/>
          <w:szCs w:val="24"/>
        </w:rPr>
        <w:t xml:space="preserve">    1.2.1本采购项目的资金来源：财政资金。</w:t>
      </w:r>
    </w:p>
    <w:p>
      <w:pPr>
        <w:spacing w:line="440" w:lineRule="exact"/>
        <w:rPr>
          <w:rFonts w:hint="eastAsia" w:ascii="宋体" w:hAnsi="宋体"/>
          <w:color w:val="000000"/>
          <w:sz w:val="24"/>
          <w:szCs w:val="24"/>
        </w:rPr>
      </w:pPr>
      <w:r>
        <w:rPr>
          <w:rFonts w:hint="eastAsia" w:ascii="宋体" w:hAnsi="宋体"/>
          <w:color w:val="000000"/>
          <w:sz w:val="24"/>
          <w:szCs w:val="24"/>
        </w:rPr>
        <w:t xml:space="preserve">    1.2.2本采购项目的资金落实情况：已落实。</w:t>
      </w:r>
    </w:p>
    <w:p>
      <w:pPr>
        <w:spacing w:line="440" w:lineRule="exact"/>
        <w:rPr>
          <w:rFonts w:hint="eastAsia"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1.3采购范围、最高响应上限、标段、服务期限和质量要求</w:t>
      </w:r>
    </w:p>
    <w:p>
      <w:pPr>
        <w:spacing w:line="440" w:lineRule="exact"/>
        <w:rPr>
          <w:rFonts w:hint="eastAsia" w:ascii="宋体" w:hAnsi="宋体"/>
          <w:color w:val="000000"/>
          <w:sz w:val="24"/>
          <w:szCs w:val="24"/>
        </w:rPr>
      </w:pPr>
      <w:r>
        <w:rPr>
          <w:rFonts w:hint="eastAsia" w:ascii="宋体" w:hAnsi="宋体"/>
          <w:color w:val="000000"/>
          <w:sz w:val="24"/>
          <w:szCs w:val="24"/>
        </w:rPr>
        <w:t xml:space="preserve">    1.3.1本次采购范围：见供应商须知前附表。</w:t>
      </w:r>
    </w:p>
    <w:p>
      <w:pPr>
        <w:spacing w:line="440" w:lineRule="exact"/>
        <w:rPr>
          <w:rFonts w:hint="eastAsia" w:ascii="宋体" w:hAnsi="宋体"/>
          <w:color w:val="000000"/>
          <w:sz w:val="24"/>
          <w:szCs w:val="24"/>
        </w:rPr>
      </w:pPr>
      <w:r>
        <w:rPr>
          <w:rFonts w:hint="eastAsia" w:ascii="宋体" w:hAnsi="宋体"/>
          <w:color w:val="000000"/>
          <w:sz w:val="24"/>
          <w:szCs w:val="24"/>
        </w:rPr>
        <w:t xml:space="preserve">    1.3.2最高响应上限：见供应商须知前附表说明。</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 xml:space="preserve"> 1.3.3 本采购项目的标段划分：见供应商须知前附表。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1.3.4 本采购项目的服务期限：见供应商须知前附表。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1.3.5 本采购项目的质量要求：见供应商须知前附表。</w:t>
      </w:r>
    </w:p>
    <w:p>
      <w:pPr>
        <w:spacing w:line="440" w:lineRule="exact"/>
        <w:rPr>
          <w:rFonts w:hint="eastAsia"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 xml:space="preserve"> 1.4供应商资格要求</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 xml:space="preserve"> 1.4.1 本项目资格、能力及信誉：见供应商须知前附表。</w:t>
      </w:r>
    </w:p>
    <w:p>
      <w:pPr>
        <w:spacing w:line="440" w:lineRule="exact"/>
        <w:ind w:firstLine="487" w:firstLineChars="203"/>
        <w:rPr>
          <w:rFonts w:hint="eastAsia" w:ascii="宋体" w:hAnsi="宋体"/>
          <w:color w:val="000000"/>
          <w:sz w:val="24"/>
          <w:szCs w:val="24"/>
        </w:rPr>
      </w:pPr>
      <w:r>
        <w:rPr>
          <w:rFonts w:hint="eastAsia" w:ascii="宋体" w:hAnsi="宋体"/>
          <w:color w:val="000000"/>
          <w:sz w:val="24"/>
          <w:szCs w:val="24"/>
        </w:rPr>
        <w:t>1.4.2本项目是否接受联合体：见供应商须知前附表。</w:t>
      </w:r>
    </w:p>
    <w:p>
      <w:pPr>
        <w:spacing w:line="440" w:lineRule="exact"/>
        <w:ind w:firstLine="473" w:firstLineChars="203"/>
        <w:rPr>
          <w:rFonts w:hint="eastAsia" w:ascii="宋体" w:hAnsi="宋体"/>
          <w:b/>
          <w:bCs/>
          <w:color w:val="000000"/>
          <w:spacing w:val="-4"/>
          <w:kern w:val="0"/>
          <w:sz w:val="24"/>
          <w:szCs w:val="24"/>
        </w:rPr>
      </w:pPr>
      <w:r>
        <w:rPr>
          <w:rFonts w:hint="eastAsia" w:ascii="宋体" w:hAnsi="宋体"/>
          <w:b/>
          <w:bCs/>
          <w:color w:val="000000"/>
          <w:spacing w:val="-4"/>
          <w:kern w:val="0"/>
          <w:sz w:val="24"/>
          <w:szCs w:val="24"/>
        </w:rPr>
        <w:t>1.4.3供应商不得存在下列情形之一：</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(1)法定代表人（负责人）为同一人。</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(2)为本项目前期准备提供设计或咨询服务的。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(3)为本项目的代建人。</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(4)为本项目提供招标代理服务的。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(5)与本项目的代建人或采购代理机构同为一个法定代表人（负责人）的。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(6)与本项目的代建人或采购代理机构相互控股或参股的。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(7)与本项目的代建人或采购代理机构相互任职或工作的。</w:t>
      </w:r>
    </w:p>
    <w:p>
      <w:pPr>
        <w:tabs>
          <w:tab w:val="left" w:pos="7560"/>
        </w:tabs>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(8)被责令停业的。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(9)被暂停或取消响应资格的。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(10)财产被接管或冻结的。</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(11)在最近三年内有严重违约或重大工程质量问题的。</w:t>
      </w:r>
    </w:p>
    <w:p>
      <w:pPr>
        <w:spacing w:line="440" w:lineRule="exact"/>
        <w:ind w:firstLine="542" w:firstLineChars="225"/>
        <w:rPr>
          <w:rFonts w:hint="eastAsia" w:ascii="宋体" w:hAnsi="宋体"/>
          <w:color w:val="000000"/>
          <w:sz w:val="24"/>
          <w:szCs w:val="24"/>
        </w:rPr>
      </w:pPr>
      <w:r>
        <w:rPr>
          <w:rFonts w:hint="eastAsia" w:ascii="宋体" w:hAnsi="宋体"/>
          <w:b/>
          <w:color w:val="000000"/>
          <w:sz w:val="24"/>
          <w:szCs w:val="24"/>
        </w:rPr>
        <w:t>1.5费用承担</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供应商是否愿意参与本次响应活动完全是自主决定的，应自行承担与参加本次响应活动有关的一切费用。不论响应的结果如何，在任何情况下，采购人均无义务和责任承担这些费用。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供应商应承担下述费用：供应商准备和参加响应活动发生的一切费用。</w:t>
      </w:r>
    </w:p>
    <w:p>
      <w:pPr>
        <w:spacing w:line="440" w:lineRule="exact"/>
        <w:ind w:firstLine="542" w:firstLineChars="225"/>
        <w:rPr>
          <w:rFonts w:hint="eastAsia" w:ascii="宋体" w:hAnsi="宋体"/>
          <w:color w:val="000000"/>
          <w:sz w:val="24"/>
          <w:szCs w:val="24"/>
        </w:rPr>
      </w:pPr>
      <w:r>
        <w:rPr>
          <w:rFonts w:hint="eastAsia" w:ascii="宋体" w:hAnsi="宋体"/>
          <w:b/>
          <w:color w:val="000000"/>
          <w:sz w:val="24"/>
          <w:szCs w:val="24"/>
        </w:rPr>
        <w:t>1.6保密</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参与采购响应活动的各方应对竞争性谈判文件和响应文件中的商业和技术等秘密保密，违者应对由此造成的后果承担法律责任。</w:t>
      </w:r>
    </w:p>
    <w:p>
      <w:pPr>
        <w:spacing w:line="440" w:lineRule="exact"/>
        <w:ind w:firstLine="540" w:firstLineChars="224"/>
        <w:rPr>
          <w:rFonts w:hint="eastAsia" w:ascii="宋体" w:hAnsi="宋体"/>
          <w:b/>
          <w:color w:val="000000"/>
          <w:sz w:val="24"/>
          <w:szCs w:val="24"/>
        </w:rPr>
      </w:pPr>
      <w:r>
        <w:rPr>
          <w:rFonts w:hint="eastAsia" w:ascii="宋体" w:hAnsi="宋体"/>
          <w:b/>
          <w:color w:val="000000"/>
          <w:sz w:val="24"/>
          <w:szCs w:val="24"/>
        </w:rPr>
        <w:t>1.7语言文字</w:t>
      </w:r>
    </w:p>
    <w:p>
      <w:pPr>
        <w:spacing w:line="440" w:lineRule="exact"/>
        <w:ind w:firstLine="537" w:firstLineChars="224"/>
        <w:rPr>
          <w:rFonts w:hint="eastAsia" w:ascii="宋体" w:hAnsi="宋体"/>
          <w:color w:val="000000"/>
          <w:sz w:val="24"/>
          <w:szCs w:val="24"/>
        </w:rPr>
      </w:pPr>
      <w:r>
        <w:rPr>
          <w:rFonts w:hint="eastAsia" w:ascii="宋体" w:hAnsi="宋体"/>
          <w:color w:val="000000"/>
          <w:sz w:val="24"/>
          <w:szCs w:val="24"/>
        </w:rPr>
        <w:t>响应文件使用的语言文字均须为中文，专用术语使用外文的，应附有中文注释。</w:t>
      </w:r>
    </w:p>
    <w:p>
      <w:pPr>
        <w:spacing w:line="440" w:lineRule="exact"/>
        <w:ind w:firstLine="540" w:firstLineChars="224"/>
        <w:rPr>
          <w:rFonts w:hint="eastAsia" w:ascii="宋体" w:hAnsi="宋体"/>
          <w:color w:val="000000"/>
          <w:sz w:val="24"/>
          <w:szCs w:val="24"/>
        </w:rPr>
      </w:pPr>
      <w:r>
        <w:rPr>
          <w:rFonts w:hint="eastAsia" w:ascii="宋体" w:hAnsi="宋体"/>
          <w:b/>
          <w:color w:val="000000"/>
          <w:sz w:val="24"/>
          <w:szCs w:val="24"/>
        </w:rPr>
        <w:t>1.8计量单位</w:t>
      </w:r>
    </w:p>
    <w:p>
      <w:pPr>
        <w:spacing w:line="440" w:lineRule="exact"/>
        <w:ind w:firstLine="537" w:firstLineChars="224"/>
        <w:rPr>
          <w:rFonts w:hint="eastAsia" w:ascii="宋体" w:hAnsi="宋体"/>
          <w:color w:val="000000"/>
          <w:sz w:val="24"/>
          <w:szCs w:val="24"/>
        </w:rPr>
      </w:pPr>
      <w:r>
        <w:rPr>
          <w:rFonts w:hint="eastAsia" w:ascii="宋体" w:hAnsi="宋体"/>
          <w:color w:val="000000"/>
          <w:sz w:val="24"/>
          <w:szCs w:val="24"/>
        </w:rPr>
        <w:t>所有计量均采用中华人民共和国法定计量单位。</w:t>
      </w:r>
    </w:p>
    <w:p>
      <w:pPr>
        <w:spacing w:line="440" w:lineRule="exact"/>
        <w:ind w:firstLine="540" w:firstLineChars="224"/>
        <w:rPr>
          <w:rFonts w:hint="eastAsia" w:ascii="宋体" w:hAnsi="宋体"/>
          <w:b/>
          <w:color w:val="000000"/>
          <w:sz w:val="24"/>
          <w:szCs w:val="24"/>
        </w:rPr>
      </w:pPr>
      <w:r>
        <w:rPr>
          <w:rFonts w:hint="eastAsia" w:ascii="宋体" w:hAnsi="宋体"/>
          <w:b/>
          <w:color w:val="000000"/>
          <w:sz w:val="24"/>
          <w:szCs w:val="24"/>
        </w:rPr>
        <w:t>1.9踏勘现场</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本项目不组织踏勘现场。但供应商有必要自行踏勘现场，以便于更好的熟悉采购内容，更好的结合现场实际情况编制响应文件。</w:t>
      </w:r>
    </w:p>
    <w:p>
      <w:pPr>
        <w:spacing w:line="440" w:lineRule="exact"/>
        <w:ind w:firstLine="542" w:firstLineChars="225"/>
        <w:rPr>
          <w:rFonts w:hint="eastAsia" w:ascii="宋体" w:hAnsi="宋体"/>
          <w:color w:val="000000"/>
          <w:sz w:val="24"/>
          <w:szCs w:val="24"/>
        </w:rPr>
      </w:pPr>
      <w:r>
        <w:rPr>
          <w:rFonts w:hint="eastAsia" w:ascii="宋体" w:hAnsi="宋体"/>
          <w:b/>
          <w:color w:val="000000"/>
          <w:sz w:val="24"/>
          <w:szCs w:val="24"/>
        </w:rPr>
        <w:t>1.10响应预备会</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本项目不组织召开响应预备会。</w:t>
      </w:r>
    </w:p>
    <w:p>
      <w:pPr>
        <w:spacing w:line="440" w:lineRule="exact"/>
        <w:ind w:firstLine="542" w:firstLineChars="225"/>
        <w:rPr>
          <w:rFonts w:hint="eastAsia" w:ascii="宋体" w:hAnsi="宋体"/>
          <w:color w:val="000000"/>
          <w:sz w:val="24"/>
          <w:szCs w:val="24"/>
        </w:rPr>
      </w:pPr>
      <w:r>
        <w:rPr>
          <w:rFonts w:hint="eastAsia" w:ascii="宋体" w:hAnsi="宋体"/>
          <w:b/>
          <w:color w:val="000000"/>
          <w:sz w:val="24"/>
          <w:szCs w:val="24"/>
        </w:rPr>
        <w:t>1.11分包</w:t>
      </w:r>
    </w:p>
    <w:p>
      <w:pPr>
        <w:spacing w:line="440" w:lineRule="exact"/>
        <w:ind w:firstLine="540" w:firstLineChars="225"/>
        <w:rPr>
          <w:rFonts w:hint="eastAsia" w:ascii="宋体" w:hAnsi="宋体"/>
          <w:color w:val="000000"/>
          <w:sz w:val="24"/>
          <w:szCs w:val="24"/>
        </w:rPr>
      </w:pPr>
      <w:r>
        <w:rPr>
          <w:rFonts w:hint="eastAsia" w:ascii="宋体" w:hAnsi="宋体"/>
          <w:color w:val="000000"/>
          <w:sz w:val="24"/>
          <w:szCs w:val="24"/>
        </w:rPr>
        <w:t>本项目不允许分包。</w:t>
      </w:r>
    </w:p>
    <w:p>
      <w:pPr>
        <w:spacing w:line="440" w:lineRule="exact"/>
        <w:ind w:firstLine="542" w:firstLineChars="225"/>
        <w:rPr>
          <w:rFonts w:hint="eastAsia" w:ascii="宋体" w:hAnsi="宋体"/>
          <w:color w:val="000000"/>
        </w:rPr>
      </w:pPr>
      <w:r>
        <w:rPr>
          <w:rFonts w:hint="eastAsia" w:ascii="宋体" w:hAnsi="宋体"/>
          <w:b/>
          <w:color w:val="000000"/>
          <w:sz w:val="24"/>
          <w:szCs w:val="24"/>
        </w:rPr>
        <w:t>1．12</w:t>
      </w:r>
      <w:r>
        <w:rPr>
          <w:rFonts w:hint="eastAsia" w:ascii="宋体" w:hAnsi="宋体"/>
          <w:color w:val="000000"/>
          <w:sz w:val="24"/>
          <w:szCs w:val="24"/>
        </w:rPr>
        <w:t>供应商应认真阅读竞争性谈判文件的全部内容，明确其所称全部事项、格式、条款和规范等各项具体要求。如果没有按照竞争性谈判文件要求提交全部资料，或没有对响应文件做出实质性响应，根据有关条款规定，其响应有可能被拒绝，其风险应由供应商自行承担。</w:t>
      </w:r>
    </w:p>
    <w:p>
      <w:pPr>
        <w:keepNext/>
        <w:keepLines/>
        <w:spacing w:before="20" w:after="20" w:line="360" w:lineRule="auto"/>
        <w:jc w:val="center"/>
        <w:outlineLvl w:val="2"/>
        <w:rPr>
          <w:rFonts w:hint="eastAsia" w:ascii="黑体" w:eastAsia="黑体" w:cs="宋体"/>
          <w:b/>
          <w:bCs/>
          <w:color w:val="000000"/>
          <w:sz w:val="28"/>
          <w:szCs w:val="28"/>
        </w:rPr>
      </w:pPr>
      <w:bookmarkStart w:id="22" w:name="_Toc3582"/>
      <w:bookmarkStart w:id="23" w:name="_Toc448070713"/>
      <w:r>
        <w:rPr>
          <w:rFonts w:hint="eastAsia" w:ascii="黑体" w:eastAsia="黑体" w:cs="宋体"/>
          <w:b/>
          <w:bCs/>
          <w:color w:val="000000"/>
          <w:sz w:val="28"/>
          <w:szCs w:val="28"/>
        </w:rPr>
        <w:t>2．竞争性谈判文件</w:t>
      </w:r>
      <w:bookmarkEnd w:id="22"/>
      <w:bookmarkEnd w:id="23"/>
    </w:p>
    <w:p>
      <w:pPr>
        <w:spacing w:line="440" w:lineRule="exact"/>
        <w:rPr>
          <w:rFonts w:hint="eastAsia" w:ascii="宋体" w:hAnsi="宋体"/>
          <w:b/>
          <w:color w:val="000000"/>
          <w:sz w:val="24"/>
          <w:szCs w:val="24"/>
        </w:rPr>
      </w:pPr>
      <w:r>
        <w:rPr>
          <w:rFonts w:hint="eastAsia" w:ascii="宋体" w:hAnsi="宋体"/>
          <w:color w:val="000000"/>
        </w:rPr>
        <w:t xml:space="preserve">   </w:t>
      </w:r>
      <w:r>
        <w:rPr>
          <w:rFonts w:hint="eastAsia" w:ascii="宋体" w:hAnsi="宋体"/>
          <w:color w:val="000000"/>
          <w:sz w:val="24"/>
          <w:szCs w:val="24"/>
        </w:rPr>
        <w:t xml:space="preserve"> </w:t>
      </w:r>
      <w:r>
        <w:rPr>
          <w:rFonts w:hint="eastAsia" w:ascii="宋体" w:hAnsi="宋体"/>
          <w:b/>
          <w:color w:val="000000"/>
          <w:sz w:val="24"/>
          <w:szCs w:val="24"/>
        </w:rPr>
        <w:t>2.1竞争性谈判文件的组成</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竞争性谈判文件包括：</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(1）竞争性谈判公告 </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(2）供应商须知及前附表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(3）竞争性谈判办法</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(4）采购需求</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(5）响应文件格式</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根据本章第2.2 条和第2.3条对竞争性谈判文件所作的澄清、修改，构成竞争性谈判文件的组成部分。</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2.2竞争性谈判文件的澄清</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2.2.1供应商应仔细阅读和检查竞争性谈判文件的全部内容。如发现缺页或附件不全，应及时向采购人提出，以便补齐。如有异议，应在供应商须知前附表规定的时间前以电子邮件形式要求采购人对竞争性谈判文件予以回复，提出异议时须注明项目名称及项目编号，不得署名。</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2.2.2竞争性谈判文件的澄清在响应截止时间3天前，以网上公布方式发布给所有潜在的供应商。如果澄清发出的时间距响应截止时间不足3天，可能影响响应文件编制的，相应推迟响应截止时间。</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2.2.3所有领取竞争性谈判文件的供应商有义务在网上</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olor w:val="000000"/>
          <w:sz w:val="24"/>
          <w:szCs w:val="24"/>
        </w:rPr>
        <w:t>自行查询资料，无需以书面形式回复。采购</w:t>
      </w:r>
      <w:r>
        <w:rPr>
          <w:rFonts w:hint="eastAsia" w:ascii="宋体" w:hAnsi="宋体"/>
          <w:color w:val="000000"/>
          <w:sz w:val="24"/>
          <w:szCs w:val="24"/>
          <w:lang w:eastAsia="zh-CN"/>
        </w:rPr>
        <w:t>办公室</w:t>
      </w:r>
      <w:r>
        <w:rPr>
          <w:rFonts w:hint="eastAsia" w:ascii="宋体" w:hAnsi="宋体"/>
          <w:color w:val="000000"/>
          <w:sz w:val="24"/>
          <w:szCs w:val="24"/>
        </w:rPr>
        <w:t>将不再另行通知各供应商。供应商对竞争性谈判文件的澄清、修改未能及时查询的，由此引起的一切责任均由供应商自行负责。</w:t>
      </w:r>
    </w:p>
    <w:p>
      <w:pPr>
        <w:spacing w:line="440" w:lineRule="exact"/>
        <w:ind w:firstLine="435"/>
        <w:rPr>
          <w:rFonts w:hint="eastAsia" w:ascii="宋体" w:hAnsi="宋体"/>
          <w:b/>
          <w:color w:val="000000"/>
          <w:sz w:val="24"/>
          <w:szCs w:val="24"/>
        </w:rPr>
      </w:pPr>
      <w:r>
        <w:rPr>
          <w:rFonts w:hint="eastAsia" w:ascii="宋体" w:hAnsi="宋体"/>
          <w:b/>
          <w:color w:val="000000"/>
          <w:sz w:val="24"/>
          <w:szCs w:val="24"/>
        </w:rPr>
        <w:t>2.3竞争性谈判文件的修改</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 2.3.1采购人对已发出的竞争性谈判文件进行的必要澄清或者修改的内容可能影响竞争性谈判响应文件编制的,应在响应截止3日前，在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olor w:val="000000"/>
          <w:sz w:val="24"/>
          <w:szCs w:val="24"/>
        </w:rPr>
        <w:t>上发布，距响应截止时间不足3日的，相应延长响应截止时间。</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在响应截止日期前，无论出于何种原因，采购人可主动地或在解答供应商要求澄清的问题时对竞争性谈判文件进行修改。</w:t>
      </w:r>
    </w:p>
    <w:p>
      <w:pPr>
        <w:spacing w:line="440" w:lineRule="exact"/>
        <w:ind w:firstLine="435"/>
        <w:rPr>
          <w:rFonts w:hint="eastAsia" w:ascii="宋体" w:hAnsi="宋体"/>
          <w:color w:val="000000"/>
          <w:sz w:val="24"/>
          <w:szCs w:val="24"/>
        </w:rPr>
      </w:pPr>
      <w:r>
        <w:rPr>
          <w:rFonts w:hint="eastAsia" w:ascii="宋体" w:hAnsi="宋体"/>
          <w:color w:val="000000"/>
          <w:sz w:val="24"/>
          <w:szCs w:val="24"/>
        </w:rPr>
        <w:t xml:space="preserve"> 2.3.2采购人对供应商提出异议的答复将在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olor w:val="000000"/>
          <w:sz w:val="24"/>
          <w:szCs w:val="24"/>
        </w:rPr>
        <w:t>上发布，但不指明澄清问题的来源。供应商自行在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站http://www.fycx.com.cn</w:t>
      </w:r>
      <w:r>
        <w:rPr>
          <w:rFonts w:hint="eastAsia" w:ascii="宋体" w:hAnsi="宋体"/>
          <w:color w:val="000000"/>
          <w:sz w:val="24"/>
          <w:szCs w:val="24"/>
        </w:rPr>
        <w:t>查询，无需确认。</w:t>
      </w:r>
    </w:p>
    <w:p>
      <w:pPr>
        <w:spacing w:line="440" w:lineRule="exact"/>
        <w:ind w:firstLine="435"/>
        <w:rPr>
          <w:rFonts w:hint="eastAsia" w:ascii="宋体" w:hAnsi="宋体"/>
          <w:color w:val="000000"/>
          <w:sz w:val="24"/>
          <w:szCs w:val="24"/>
        </w:rPr>
      </w:pPr>
      <w:r>
        <w:rPr>
          <w:rFonts w:hint="eastAsia" w:ascii="宋体" w:hAnsi="宋体"/>
          <w:color w:val="000000"/>
          <w:sz w:val="24"/>
          <w:szCs w:val="24"/>
        </w:rPr>
        <w:t xml:space="preserve"> 2.3.3当竞争性谈判文件的澄清、修改、补充等在同一内容的表述上不一致时，以最后发出的为准。</w:t>
      </w:r>
      <w:r>
        <w:rPr>
          <w:rFonts w:hint="eastAsia" w:ascii="宋体" w:hAnsi="宋体"/>
          <w:color w:val="000000"/>
          <w:sz w:val="24"/>
          <w:szCs w:val="20"/>
        </w:rPr>
        <w:t>为使供应商在准备竞争性谈判响应文件时，有充足的时间对竞争性谈判文件的修改进行研究考虑，采购方可自行决定，酌情推迟响应截止日期。</w:t>
      </w:r>
    </w:p>
    <w:p>
      <w:pPr>
        <w:keepNext/>
        <w:keepLines/>
        <w:spacing w:before="20" w:after="20" w:line="360" w:lineRule="auto"/>
        <w:jc w:val="center"/>
        <w:outlineLvl w:val="2"/>
        <w:rPr>
          <w:rFonts w:hint="eastAsia" w:ascii="黑体" w:eastAsia="黑体" w:cs="宋体"/>
          <w:b/>
          <w:bCs/>
          <w:color w:val="000000"/>
          <w:sz w:val="28"/>
          <w:szCs w:val="28"/>
        </w:rPr>
      </w:pPr>
      <w:bookmarkStart w:id="24" w:name="_Toc448070714"/>
      <w:bookmarkStart w:id="25" w:name="_Toc27516"/>
      <w:r>
        <w:rPr>
          <w:rFonts w:hint="eastAsia" w:ascii="黑体" w:eastAsia="黑体" w:cs="宋体"/>
          <w:b/>
          <w:bCs/>
          <w:color w:val="000000"/>
          <w:sz w:val="28"/>
          <w:szCs w:val="28"/>
        </w:rPr>
        <w:t>3．响应文件</w:t>
      </w:r>
      <w:bookmarkEnd w:id="24"/>
      <w:bookmarkEnd w:id="25"/>
    </w:p>
    <w:p>
      <w:pPr>
        <w:spacing w:line="440" w:lineRule="exact"/>
        <w:ind w:firstLine="435"/>
        <w:rPr>
          <w:rFonts w:hint="eastAsia" w:ascii="宋体" w:hAnsi="宋体"/>
          <w:b/>
          <w:color w:val="000000"/>
          <w:sz w:val="24"/>
          <w:szCs w:val="24"/>
        </w:rPr>
      </w:pPr>
      <w:r>
        <w:rPr>
          <w:rFonts w:hint="eastAsia" w:ascii="宋体" w:hAnsi="宋体"/>
          <w:b/>
          <w:color w:val="000000"/>
          <w:sz w:val="24"/>
          <w:szCs w:val="24"/>
        </w:rPr>
        <w:t>3.1响应文件的组成</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3.1.1 响应文件应包括下列内容：</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见响应文件格式</w:t>
      </w:r>
    </w:p>
    <w:p>
      <w:pPr>
        <w:spacing w:line="440" w:lineRule="exact"/>
        <w:ind w:firstLine="361" w:firstLineChars="150"/>
        <w:rPr>
          <w:rFonts w:hint="eastAsia" w:ascii="宋体" w:hAnsi="宋体"/>
          <w:b/>
          <w:color w:val="000000"/>
          <w:sz w:val="24"/>
          <w:szCs w:val="24"/>
        </w:rPr>
      </w:pPr>
      <w:r>
        <w:rPr>
          <w:rFonts w:hint="eastAsia" w:ascii="宋体" w:hAnsi="宋体"/>
          <w:b/>
          <w:color w:val="000000"/>
          <w:sz w:val="24"/>
          <w:szCs w:val="24"/>
        </w:rPr>
        <w:t>3.2响应报价</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 xml:space="preserve"> 3.2.1供应商应按竞争性谈判文件的格式要求填写相应表格。</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3.2.2供应商应在响应文件中注明拟提供服务的单价明细和总价。</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3.2.3报价内容包括完成本项目采购需求的全部费用。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3.2.4供应商在响应截止时间前修改响应报价表中的响应总报价，应同时修改报价清单中相应报价。</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3.2.5除非竞争性谈判文件另有规定，每一包只允许有一个最终报价，任何有选择的报价或替代方案将导致响应无效。</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3.2.6采购人不建议供应商采用总价优惠或以总价百分比优惠的方式进行响应报价，其优惠可直接计算并体现在各项响应报价的单价中。</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3.2.7除政策性文件规定以外，供应商所报价格在合同实施期间不因市场变化因素而变动。</w:t>
      </w:r>
    </w:p>
    <w:p>
      <w:pPr>
        <w:spacing w:line="440" w:lineRule="exact"/>
        <w:ind w:firstLine="360" w:firstLineChars="150"/>
        <w:rPr>
          <w:rFonts w:hint="eastAsia"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3.3响应有效期</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3.3.1 在供应商须知前附表规定的响应有效期内，供应商不得要求撤销或修改其响应文件。</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3.3.2 出现特殊情况需要延长响应有效期的，将以书面形式通知所有供应商延长响应有效期。供应商同意延长的，不得要求或被允许修改或撤销其响应文件；供应商拒绝延长的，其响应失效。</w:t>
      </w:r>
    </w:p>
    <w:p>
      <w:pPr>
        <w:spacing w:line="440" w:lineRule="exact"/>
        <w:ind w:firstLine="361" w:firstLineChars="150"/>
        <w:rPr>
          <w:rFonts w:hint="eastAsia" w:ascii="宋体" w:hAnsi="宋体"/>
          <w:b/>
          <w:color w:val="000000"/>
          <w:sz w:val="24"/>
          <w:szCs w:val="24"/>
        </w:rPr>
      </w:pPr>
      <w:bookmarkStart w:id="26" w:name="_Toc422395147"/>
      <w:bookmarkStart w:id="27" w:name="_Toc29145223"/>
      <w:bookmarkStart w:id="28" w:name="_Toc416271933"/>
      <w:bookmarkStart w:id="29" w:name="_Toc395801966"/>
      <w:bookmarkStart w:id="30" w:name="_Toc416271404"/>
      <w:r>
        <w:rPr>
          <w:rFonts w:hint="eastAsia" w:ascii="宋体" w:hAnsi="宋体"/>
          <w:b/>
          <w:color w:val="000000"/>
          <w:sz w:val="24"/>
          <w:szCs w:val="24"/>
        </w:rPr>
        <w:t>3.4 竞争性谈判保证金</w:t>
      </w:r>
      <w:bookmarkEnd w:id="26"/>
      <w:bookmarkEnd w:id="27"/>
      <w:bookmarkEnd w:id="28"/>
      <w:bookmarkEnd w:id="29"/>
      <w:bookmarkEnd w:id="30"/>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 xml:space="preserve">3.4.1 供应商在递交响应文件的同时，应按供应商须知前附表规定的金额、担保形式、递交方式递交竞争性谈判保证金，并作为其响应文件的组成部分。 </w:t>
      </w:r>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3.4.2 供应商不按本章第3.4.1 条要求提交竞争性谈判保证金的，其响应文件作废标处理。</w:t>
      </w:r>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3.4.3成交人以外的供应商竞争性谈判保证金将在成交通知书发出后3个工作日内予以退还。</w:t>
      </w:r>
    </w:p>
    <w:p>
      <w:pPr>
        <w:spacing w:line="360" w:lineRule="auto"/>
        <w:ind w:firstLine="480" w:firstLineChars="200"/>
        <w:outlineLvl w:val="3"/>
        <w:rPr>
          <w:rFonts w:hint="eastAsia" w:ascii="宋体" w:hAnsi="宋体"/>
          <w:color w:val="000000"/>
          <w:sz w:val="24"/>
          <w:szCs w:val="20"/>
        </w:rPr>
      </w:pPr>
      <w:r>
        <w:rPr>
          <w:rFonts w:hint="eastAsia" w:ascii="宋体" w:hAnsi="宋体"/>
          <w:color w:val="000000"/>
          <w:sz w:val="24"/>
          <w:szCs w:val="20"/>
        </w:rPr>
        <w:t>3.4.4成交人的竞争性谈判保证金在采购人与成交人签订合同后3个工作日内予以退还。</w:t>
      </w:r>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3.4.5有下列情形之一的，竞争性谈判保证金将不予退还：</w:t>
      </w:r>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 xml:space="preserve">（1）在招标投标活动中串通投标、弄虚作假、以他人名义投标。 </w:t>
      </w:r>
    </w:p>
    <w:p>
      <w:pPr>
        <w:spacing w:line="360" w:lineRule="auto"/>
        <w:ind w:firstLine="600" w:firstLineChars="250"/>
        <w:rPr>
          <w:rFonts w:hint="eastAsia" w:ascii="宋体" w:hAnsi="宋体"/>
          <w:color w:val="000000"/>
          <w:sz w:val="24"/>
          <w:szCs w:val="20"/>
        </w:rPr>
      </w:pPr>
      <w:r>
        <w:rPr>
          <w:rFonts w:hint="eastAsia" w:ascii="宋体" w:hAnsi="宋体"/>
          <w:color w:val="000000"/>
          <w:sz w:val="24"/>
          <w:szCs w:val="20"/>
        </w:rPr>
        <w:t>(2）供应商在规定的投标有效期内撤销或修改其响应文件。</w:t>
      </w:r>
    </w:p>
    <w:p>
      <w:pPr>
        <w:spacing w:line="360" w:lineRule="auto"/>
        <w:ind w:firstLine="480" w:firstLineChars="200"/>
        <w:rPr>
          <w:rFonts w:hint="eastAsia" w:ascii="宋体" w:hAnsi="宋体"/>
          <w:color w:val="000000"/>
          <w:sz w:val="24"/>
          <w:szCs w:val="20"/>
        </w:rPr>
      </w:pPr>
      <w:r>
        <w:rPr>
          <w:rFonts w:hint="eastAsia" w:ascii="宋体" w:hAnsi="宋体"/>
          <w:color w:val="000000"/>
          <w:sz w:val="24"/>
          <w:szCs w:val="20"/>
        </w:rPr>
        <w:t>（3）中标候选人除不可抗力外，放弃中标候选资格的。</w:t>
      </w:r>
    </w:p>
    <w:p>
      <w:pPr>
        <w:spacing w:line="360" w:lineRule="auto"/>
        <w:ind w:firstLine="600" w:firstLineChars="250"/>
        <w:rPr>
          <w:rFonts w:hint="eastAsia" w:ascii="宋体" w:hAnsi="宋体"/>
          <w:color w:val="000000"/>
          <w:sz w:val="24"/>
          <w:szCs w:val="20"/>
        </w:rPr>
      </w:pPr>
      <w:r>
        <w:rPr>
          <w:rFonts w:hint="eastAsia" w:ascii="宋体" w:hAnsi="宋体"/>
          <w:color w:val="000000"/>
          <w:sz w:val="24"/>
          <w:szCs w:val="20"/>
        </w:rPr>
        <w:t>(4）成交人在收到成交通知书后，无正当理由拒签合同协议书。</w:t>
      </w:r>
    </w:p>
    <w:p>
      <w:pPr>
        <w:spacing w:line="440" w:lineRule="exact"/>
        <w:ind w:firstLine="361" w:firstLineChars="150"/>
        <w:rPr>
          <w:rFonts w:hint="eastAsia" w:ascii="宋体" w:hAnsi="宋体"/>
          <w:b/>
          <w:color w:val="000000"/>
          <w:sz w:val="24"/>
          <w:szCs w:val="24"/>
        </w:rPr>
      </w:pPr>
      <w:r>
        <w:rPr>
          <w:rFonts w:hint="eastAsia" w:ascii="宋体" w:hAnsi="宋体"/>
          <w:b/>
          <w:color w:val="000000"/>
          <w:sz w:val="24"/>
          <w:szCs w:val="24"/>
        </w:rPr>
        <w:t>3.4 备选响应方案</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本项目不接受备选响应方案。</w:t>
      </w:r>
    </w:p>
    <w:p>
      <w:pPr>
        <w:spacing w:line="440" w:lineRule="exact"/>
        <w:ind w:firstLine="361" w:firstLineChars="150"/>
        <w:rPr>
          <w:rFonts w:hint="eastAsia" w:ascii="宋体" w:hAnsi="宋体"/>
          <w:b/>
          <w:color w:val="000000"/>
          <w:sz w:val="24"/>
          <w:szCs w:val="24"/>
        </w:rPr>
      </w:pPr>
      <w:r>
        <w:rPr>
          <w:rFonts w:hint="eastAsia" w:ascii="宋体" w:hAnsi="宋体"/>
          <w:b/>
          <w:color w:val="000000"/>
          <w:sz w:val="24"/>
          <w:szCs w:val="24"/>
        </w:rPr>
        <w:t>3.5响应文件的编制和标记</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3.5.1 响应文件必须按上述序号或顺序编制，并按规定格式填写响应文件资料清单。响应文件一律胶装，否则作无效标处理。</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3.5.2 供应商应认真阅读竞争性谈判文件中所有的事项、格式、条件、条款和规范等要求。</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3.5.3 供应商应按照竞争性谈判文件的要求，规范、明确、准时的提交响应文件。如果没有按照竞争性谈判文件的要求提交全部资料并保证所提供全部资料的真实性，或没有对竞争性谈判文件做出实质性响应，其风险应由供应商自行承担。根据有关条款规定，其响应有可能被拒绝。</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3.5.4除非有特殊要求，竞争性谈判文件不单独提供采购货物使用地的自然环境、气候条件、公用设施等情况，供应商被视为熟悉上述与履行合同有关的一切情况。</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3.5.5 响应文件必须对竞争性谈判文件有关服务期限、响应有效期、质量要求、技术标准和要求、采购范围、人员配备等实质性内容作出响应。</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3.5.6 响应文件应用不褪色的材料书写或打印，并按竞争性谈判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pPr>
        <w:spacing w:line="440" w:lineRule="exact"/>
        <w:ind w:firstLine="480" w:firstLineChars="200"/>
        <w:rPr>
          <w:rFonts w:hint="eastAsia" w:ascii="宋体" w:hAnsi="宋体"/>
          <w:b/>
          <w:color w:val="000000"/>
          <w:sz w:val="24"/>
          <w:szCs w:val="24"/>
          <w:u w:val="double"/>
        </w:rPr>
      </w:pPr>
      <w:r>
        <w:rPr>
          <w:rFonts w:hint="eastAsia" w:ascii="宋体" w:hAnsi="宋体"/>
          <w:color w:val="000000"/>
          <w:sz w:val="24"/>
          <w:szCs w:val="24"/>
        </w:rPr>
        <w:t>3.5.7响应文件分</w:t>
      </w:r>
      <w:r>
        <w:rPr>
          <w:rFonts w:hint="eastAsia" w:ascii="宋体" w:hAnsi="宋体"/>
          <w:b/>
          <w:color w:val="000000"/>
          <w:sz w:val="24"/>
          <w:szCs w:val="24"/>
          <w:u w:val="single"/>
        </w:rPr>
        <w:t>正本壹份、副本</w:t>
      </w:r>
      <w:r>
        <w:rPr>
          <w:rFonts w:hint="eastAsia" w:ascii="宋体" w:hAnsi="宋体"/>
          <w:b/>
          <w:color w:val="000000"/>
          <w:sz w:val="24"/>
          <w:szCs w:val="24"/>
          <w:u w:val="single"/>
          <w:lang w:eastAsia="zh-CN"/>
        </w:rPr>
        <w:t>贰</w:t>
      </w:r>
      <w:r>
        <w:rPr>
          <w:rFonts w:hint="eastAsia" w:ascii="宋体" w:hAnsi="宋体"/>
          <w:b/>
          <w:color w:val="000000"/>
          <w:sz w:val="24"/>
          <w:szCs w:val="24"/>
          <w:u w:val="single"/>
        </w:rPr>
        <w:t>份</w:t>
      </w:r>
      <w:r>
        <w:rPr>
          <w:rFonts w:hint="eastAsia" w:ascii="宋体" w:hAnsi="宋体"/>
          <w:b/>
          <w:color w:val="000000"/>
          <w:sz w:val="24"/>
          <w:szCs w:val="24"/>
        </w:rPr>
        <w:t>。</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3.5.8响应文件的正本与副本应分别装订成册，并编制目录。</w:t>
      </w:r>
    </w:p>
    <w:p>
      <w:pPr>
        <w:keepNext/>
        <w:keepLines/>
        <w:spacing w:before="20" w:after="20" w:line="360" w:lineRule="auto"/>
        <w:jc w:val="center"/>
        <w:outlineLvl w:val="2"/>
        <w:rPr>
          <w:rFonts w:hint="eastAsia" w:ascii="黑体" w:eastAsia="黑体" w:cs="宋体"/>
          <w:b/>
          <w:bCs/>
          <w:color w:val="000000"/>
          <w:sz w:val="28"/>
          <w:szCs w:val="28"/>
        </w:rPr>
      </w:pPr>
      <w:bookmarkStart w:id="31" w:name="_Toc448070715"/>
      <w:bookmarkStart w:id="32" w:name="_Toc12243"/>
      <w:r>
        <w:rPr>
          <w:rFonts w:hint="eastAsia" w:ascii="黑体" w:eastAsia="黑体" w:cs="宋体"/>
          <w:b/>
          <w:bCs/>
          <w:color w:val="000000"/>
          <w:sz w:val="28"/>
          <w:szCs w:val="28"/>
        </w:rPr>
        <w:t>4．响应文件密封、递交</w:t>
      </w:r>
      <w:bookmarkEnd w:id="31"/>
      <w:bookmarkEnd w:id="32"/>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4.1 响应文件的密封</w:t>
      </w:r>
    </w:p>
    <w:p>
      <w:pPr>
        <w:spacing w:line="440" w:lineRule="exact"/>
        <w:ind w:firstLine="480" w:firstLineChars="200"/>
        <w:rPr>
          <w:rFonts w:hint="eastAsia" w:ascii="宋体" w:hAnsi="宋体"/>
          <w:b/>
          <w:bCs/>
          <w:color w:val="000000"/>
          <w:sz w:val="24"/>
          <w:szCs w:val="24"/>
        </w:rPr>
      </w:pPr>
      <w:r>
        <w:rPr>
          <w:rFonts w:hint="eastAsia" w:ascii="宋体" w:hAnsi="宋体"/>
          <w:color w:val="000000"/>
          <w:sz w:val="24"/>
          <w:szCs w:val="24"/>
        </w:rPr>
        <w:t>4.1.1响应文件均需</w:t>
      </w:r>
      <w:r>
        <w:rPr>
          <w:rFonts w:hint="eastAsia" w:ascii="宋体" w:hAnsi="宋体"/>
          <w:b/>
          <w:color w:val="000000"/>
          <w:sz w:val="24"/>
          <w:szCs w:val="24"/>
        </w:rPr>
        <w:t>胶装</w:t>
      </w:r>
      <w:r>
        <w:rPr>
          <w:rFonts w:hint="eastAsia" w:ascii="宋体" w:hAnsi="宋体"/>
          <w:color w:val="000000"/>
          <w:sz w:val="24"/>
          <w:szCs w:val="24"/>
        </w:rPr>
        <w:t>（响应文件纸质版文件一律胶装，否则做无效标处理），</w:t>
      </w:r>
      <w:r>
        <w:rPr>
          <w:rFonts w:hint="eastAsia" w:ascii="宋体" w:hAnsi="宋体"/>
          <w:bCs/>
          <w:color w:val="000000"/>
          <w:sz w:val="24"/>
          <w:szCs w:val="24"/>
          <w:lang w:val="zh-CN"/>
        </w:rPr>
        <w:t>正副本分开密封或集中密封均可</w:t>
      </w:r>
      <w:r>
        <w:rPr>
          <w:rFonts w:hint="eastAsia" w:ascii="宋体" w:hAnsi="宋体"/>
          <w:bCs/>
          <w:color w:val="000000"/>
          <w:sz w:val="24"/>
          <w:szCs w:val="24"/>
        </w:rPr>
        <w:t>,封面表明正本或副本</w:t>
      </w:r>
      <w:r>
        <w:rPr>
          <w:rFonts w:hint="eastAsia" w:ascii="宋体" w:hAnsi="宋体"/>
          <w:b/>
          <w:bCs/>
          <w:color w:val="000000"/>
          <w:sz w:val="24"/>
          <w:szCs w:val="24"/>
        </w:rPr>
        <w:t>。</w:t>
      </w:r>
    </w:p>
    <w:p>
      <w:pPr>
        <w:spacing w:line="44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（拒收散件和活页装订的响应文件）</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4.2响应文件的递交</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 xml:space="preserve"> 4.2.1 响应截止时间：见供应商须知前附表。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4.2.2 供应商递交响应文件的地点：见供应商须知前附表。</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4.2.3供应商递交响应文件后应由</w:t>
      </w:r>
      <w:r>
        <w:rPr>
          <w:rFonts w:hint="eastAsia" w:ascii="宋体" w:hAnsi="宋体"/>
          <w:b/>
          <w:color w:val="000000"/>
          <w:sz w:val="24"/>
          <w:szCs w:val="24"/>
        </w:rPr>
        <w:t>法定代表人（负责人）或其授权委托代理人</w:t>
      </w:r>
      <w:r>
        <w:rPr>
          <w:rFonts w:hint="eastAsia" w:ascii="宋体" w:hAnsi="宋体"/>
          <w:color w:val="000000"/>
          <w:sz w:val="24"/>
          <w:szCs w:val="24"/>
        </w:rPr>
        <w:t>在响应文件递交表确认书上签字确认。</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4.2.4 逾期送达的或者未送达指定地点的响应文件，采购人不予受理。</w:t>
      </w:r>
    </w:p>
    <w:p>
      <w:pPr>
        <w:spacing w:line="440" w:lineRule="exact"/>
        <w:ind w:firstLine="465"/>
        <w:rPr>
          <w:rFonts w:hint="eastAsia" w:ascii="宋体" w:hAnsi="宋体"/>
          <w:b/>
          <w:color w:val="000000"/>
          <w:sz w:val="24"/>
          <w:szCs w:val="24"/>
        </w:rPr>
      </w:pPr>
      <w:r>
        <w:rPr>
          <w:rFonts w:hint="eastAsia" w:ascii="宋体" w:hAnsi="宋体"/>
          <w:b/>
          <w:color w:val="000000"/>
          <w:sz w:val="24"/>
          <w:szCs w:val="24"/>
        </w:rPr>
        <w:t>4.3响应文件的修改与撤回</w:t>
      </w:r>
    </w:p>
    <w:p>
      <w:pPr>
        <w:spacing w:line="440" w:lineRule="exact"/>
        <w:ind w:firstLine="465"/>
        <w:rPr>
          <w:rFonts w:hint="eastAsia" w:ascii="宋体" w:hAnsi="宋体"/>
          <w:color w:val="000000"/>
          <w:sz w:val="24"/>
          <w:szCs w:val="24"/>
        </w:rPr>
      </w:pPr>
      <w:r>
        <w:rPr>
          <w:rFonts w:hint="eastAsia" w:ascii="宋体" w:hAnsi="宋体"/>
          <w:color w:val="000000"/>
          <w:sz w:val="24"/>
          <w:szCs w:val="24"/>
        </w:rPr>
        <w:t>4.3.1供应商在递交响应文件后，可以修改或撤回其响应，但这种修改和撤回，必须在规定的响应截止日期前，并以书面形式通知采购人。在响应截止时间后，供应商不得再要求修改或撤回其响应文件。</w:t>
      </w:r>
    </w:p>
    <w:p>
      <w:pPr>
        <w:spacing w:line="440" w:lineRule="exact"/>
        <w:ind w:firstLine="465"/>
        <w:rPr>
          <w:rFonts w:hint="eastAsia" w:ascii="宋体" w:hAnsi="宋体"/>
          <w:color w:val="000000"/>
          <w:sz w:val="24"/>
          <w:szCs w:val="24"/>
        </w:rPr>
      </w:pPr>
      <w:r>
        <w:rPr>
          <w:rFonts w:hint="eastAsia" w:ascii="宋体" w:hAnsi="宋体"/>
          <w:color w:val="000000"/>
          <w:sz w:val="24"/>
          <w:szCs w:val="24"/>
        </w:rPr>
        <w:t>4.3.2 供应商的修改书或撤回通知书，应按规定进行编制、密封、标记和递交，且上标明“修改”或“撤回”字样。</w:t>
      </w:r>
    </w:p>
    <w:p>
      <w:pPr>
        <w:spacing w:line="440" w:lineRule="exact"/>
        <w:ind w:firstLine="465"/>
        <w:rPr>
          <w:rFonts w:hint="eastAsia" w:ascii="宋体" w:hAnsi="宋体"/>
          <w:color w:val="000000"/>
        </w:rPr>
      </w:pPr>
      <w:r>
        <w:rPr>
          <w:rFonts w:hint="eastAsia" w:ascii="宋体" w:hAnsi="宋体"/>
          <w:color w:val="000000"/>
          <w:sz w:val="24"/>
          <w:szCs w:val="24"/>
        </w:rPr>
        <w:t>4.3.3在响应截止日期与竞争性谈判文件规定的有效期终止日之间的这段时间内，供应商不能撤回响应文件。</w:t>
      </w:r>
    </w:p>
    <w:p>
      <w:pPr>
        <w:keepNext/>
        <w:keepLines/>
        <w:spacing w:before="20" w:after="20" w:line="360" w:lineRule="auto"/>
        <w:jc w:val="center"/>
        <w:outlineLvl w:val="2"/>
        <w:rPr>
          <w:rFonts w:hint="eastAsia" w:ascii="黑体" w:eastAsia="黑体" w:cs="宋体"/>
          <w:b/>
          <w:bCs/>
          <w:color w:val="000000"/>
          <w:sz w:val="28"/>
          <w:szCs w:val="28"/>
        </w:rPr>
      </w:pPr>
      <w:r>
        <w:rPr>
          <w:rFonts w:hint="eastAsia" w:ascii="黑体" w:eastAsia="黑体" w:cs="宋体"/>
          <w:b/>
          <w:bCs/>
          <w:color w:val="000000"/>
          <w:sz w:val="28"/>
          <w:szCs w:val="28"/>
        </w:rPr>
        <w:t xml:space="preserve">    </w:t>
      </w:r>
      <w:bookmarkStart w:id="33" w:name="_Toc448070716"/>
      <w:bookmarkStart w:id="34" w:name="_Toc26630"/>
      <w:r>
        <w:rPr>
          <w:rFonts w:hint="eastAsia" w:ascii="黑体" w:eastAsia="黑体" w:cs="宋体"/>
          <w:b/>
          <w:bCs/>
          <w:color w:val="000000"/>
          <w:sz w:val="28"/>
          <w:szCs w:val="28"/>
        </w:rPr>
        <w:t>5．</w:t>
      </w:r>
      <w:bookmarkEnd w:id="33"/>
      <w:bookmarkEnd w:id="34"/>
      <w:r>
        <w:rPr>
          <w:rFonts w:hint="eastAsia" w:ascii="黑体" w:eastAsia="黑体" w:cs="宋体"/>
          <w:b/>
          <w:bCs/>
          <w:color w:val="000000"/>
          <w:sz w:val="28"/>
          <w:szCs w:val="28"/>
        </w:rPr>
        <w:t>竞争性谈判会</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5.1竞争性谈判时间和地点</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将在供应商须知前附表规定的时间和地点进行竞争性谈判，并邀请所有供应商的法定代表人（负责人）或授权委托人准时参加竞争性谈判会。</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5.2竞争性谈判程序</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5.2.1主持人按下列程序召开竞争性谈判会：</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(l）采购人及监督人员到场情况。</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(2）宣布竞争性谈判纪律。</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（3）公布在响应截止时间前递交响应文件的供应商名称。</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（4）由供应商代表检查各自响应文件的密封情况。</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(5）宣布竞争性谈判顺序</w:t>
      </w:r>
    </w:p>
    <w:p>
      <w:pPr>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(6）竞争性谈判会议结束,进入竞争性谈判阶段；</w:t>
      </w:r>
    </w:p>
    <w:p>
      <w:pPr>
        <w:spacing w:line="440" w:lineRule="exact"/>
        <w:ind w:firstLine="360" w:firstLineChars="150"/>
        <w:rPr>
          <w:rFonts w:hint="eastAsia" w:ascii="宋体" w:hAnsi="宋体"/>
          <w:color w:val="000000"/>
          <w:sz w:val="24"/>
          <w:szCs w:val="24"/>
        </w:rPr>
      </w:pPr>
      <w:r>
        <w:rPr>
          <w:rFonts w:hint="eastAsia" w:ascii="宋体" w:hAnsi="宋体"/>
          <w:color w:val="000000"/>
          <w:sz w:val="24"/>
          <w:szCs w:val="24"/>
        </w:rPr>
        <w:t>(7）</w:t>
      </w:r>
      <w:r>
        <w:rPr>
          <w:rFonts w:hint="eastAsia" w:ascii="宋体" w:hAnsi="宋体"/>
          <w:b/>
          <w:bCs/>
          <w:color w:val="000000"/>
          <w:sz w:val="24"/>
          <w:szCs w:val="24"/>
        </w:rPr>
        <w:t>本次竞争性谈判程序为1轮竞争性谈判、2轮报价（第1轮报价予</w:t>
      </w:r>
      <w:r>
        <w:rPr>
          <w:rFonts w:hint="eastAsia" w:ascii="宋体" w:hAnsi="宋体"/>
          <w:b/>
          <w:bCs/>
          <w:color w:val="000000"/>
          <w:sz w:val="24"/>
          <w:szCs w:val="24"/>
          <w:lang w:eastAsia="zh-CN"/>
        </w:rPr>
        <w:t>以</w:t>
      </w:r>
      <w:r>
        <w:rPr>
          <w:rFonts w:hint="eastAsia" w:ascii="宋体" w:hAnsi="宋体"/>
          <w:b/>
          <w:bCs/>
          <w:color w:val="000000"/>
          <w:sz w:val="24"/>
          <w:szCs w:val="24"/>
        </w:rPr>
        <w:t>公开</w:t>
      </w:r>
      <w:r>
        <w:rPr>
          <w:rFonts w:hint="eastAsia" w:ascii="宋体" w:hAnsi="宋体"/>
          <w:b/>
          <w:bCs/>
          <w:color w:val="000000"/>
          <w:sz w:val="24"/>
          <w:szCs w:val="24"/>
          <w:lang w:eastAsia="zh-CN"/>
        </w:rPr>
        <w:t>，第</w:t>
      </w:r>
      <w:r>
        <w:rPr>
          <w:rFonts w:hint="eastAsia" w:ascii="宋体" w:hAnsi="宋体"/>
          <w:b/>
          <w:bCs/>
          <w:color w:val="000000"/>
          <w:sz w:val="24"/>
          <w:szCs w:val="24"/>
          <w:lang w:val="en-US" w:eastAsia="zh-CN"/>
        </w:rPr>
        <w:t>2轮报价不予公开</w:t>
      </w:r>
      <w:r>
        <w:rPr>
          <w:rFonts w:hint="eastAsia" w:ascii="宋体" w:hAnsi="宋体"/>
          <w:b/>
          <w:bCs/>
          <w:color w:val="000000"/>
          <w:sz w:val="24"/>
          <w:szCs w:val="24"/>
        </w:rPr>
        <w:t>）；报价单位的第2轮报价应低于自已的第1轮报价</w:t>
      </w:r>
      <w:r>
        <w:rPr>
          <w:rFonts w:hint="eastAsia" w:ascii="宋体" w:hAnsi="宋体"/>
          <w:color w:val="000000"/>
          <w:sz w:val="24"/>
          <w:szCs w:val="24"/>
        </w:rPr>
        <w:t>。</w:t>
      </w:r>
    </w:p>
    <w:p>
      <w:pPr>
        <w:keepNext/>
        <w:keepLines/>
        <w:spacing w:before="20" w:after="20" w:line="360" w:lineRule="auto"/>
        <w:jc w:val="center"/>
        <w:outlineLvl w:val="2"/>
        <w:rPr>
          <w:rFonts w:hint="eastAsia" w:ascii="黑体" w:eastAsia="黑体" w:cs="宋体"/>
          <w:b/>
          <w:bCs/>
          <w:color w:val="000000"/>
          <w:sz w:val="28"/>
          <w:szCs w:val="28"/>
        </w:rPr>
      </w:pPr>
      <w:bookmarkStart w:id="35" w:name="_Hlt509650690"/>
      <w:bookmarkEnd w:id="35"/>
      <w:bookmarkStart w:id="36" w:name="_Hlt509650116"/>
      <w:bookmarkEnd w:id="36"/>
      <w:bookmarkStart w:id="37" w:name="_Hlt509650961"/>
      <w:bookmarkEnd w:id="37"/>
      <w:bookmarkStart w:id="38" w:name="_Hlt509650333"/>
      <w:bookmarkEnd w:id="38"/>
      <w:bookmarkStart w:id="39" w:name="_Hlt509649795"/>
      <w:bookmarkEnd w:id="39"/>
      <w:bookmarkStart w:id="40" w:name="_Hlt509650929"/>
      <w:bookmarkEnd w:id="40"/>
      <w:bookmarkStart w:id="41" w:name="_Hlt509649678"/>
      <w:bookmarkEnd w:id="41"/>
      <w:bookmarkStart w:id="42" w:name="_Hlt509649669"/>
      <w:bookmarkEnd w:id="42"/>
      <w:bookmarkStart w:id="43" w:name="_Hlt526418153"/>
      <w:bookmarkEnd w:id="43"/>
      <w:bookmarkStart w:id="44" w:name="_Hlt509650936"/>
      <w:bookmarkEnd w:id="44"/>
      <w:bookmarkStart w:id="45" w:name="_Hlt509650932"/>
      <w:bookmarkEnd w:id="45"/>
      <w:bookmarkStart w:id="46" w:name="_Hlt509649645"/>
      <w:bookmarkEnd w:id="46"/>
      <w:bookmarkStart w:id="47" w:name="_Hlt509649330"/>
      <w:bookmarkEnd w:id="47"/>
      <w:bookmarkStart w:id="48" w:name="_Hlt509650103"/>
      <w:bookmarkEnd w:id="48"/>
      <w:bookmarkStart w:id="49" w:name="_Toc7354"/>
      <w:bookmarkStart w:id="50" w:name="_Toc448070717"/>
    </w:p>
    <w:p>
      <w:pPr>
        <w:keepNext/>
        <w:keepLines/>
        <w:spacing w:before="20" w:after="20" w:line="360" w:lineRule="auto"/>
        <w:jc w:val="center"/>
        <w:outlineLvl w:val="2"/>
        <w:rPr>
          <w:rFonts w:hint="eastAsia" w:ascii="黑体" w:eastAsia="黑体" w:cs="宋体"/>
          <w:b/>
          <w:bCs/>
          <w:color w:val="000000"/>
          <w:sz w:val="28"/>
          <w:szCs w:val="28"/>
        </w:rPr>
      </w:pPr>
      <w:r>
        <w:rPr>
          <w:rFonts w:hint="eastAsia" w:ascii="黑体" w:eastAsia="黑体" w:cs="宋体"/>
          <w:b/>
          <w:bCs/>
          <w:color w:val="000000"/>
          <w:sz w:val="28"/>
          <w:szCs w:val="28"/>
        </w:rPr>
        <w:t>6．</w:t>
      </w:r>
      <w:bookmarkEnd w:id="49"/>
      <w:bookmarkEnd w:id="50"/>
      <w:r>
        <w:rPr>
          <w:rFonts w:hint="eastAsia" w:ascii="黑体" w:eastAsia="黑体" w:cs="宋体"/>
          <w:b/>
          <w:bCs/>
          <w:color w:val="000000"/>
          <w:sz w:val="28"/>
          <w:szCs w:val="28"/>
        </w:rPr>
        <w:t>谈判</w:t>
      </w:r>
    </w:p>
    <w:p>
      <w:pPr>
        <w:spacing w:line="440" w:lineRule="exact"/>
        <w:ind w:firstLine="435"/>
        <w:rPr>
          <w:rFonts w:hint="eastAsia" w:ascii="宋体" w:hAnsi="宋体"/>
          <w:b/>
          <w:color w:val="000000"/>
          <w:sz w:val="24"/>
          <w:szCs w:val="24"/>
        </w:rPr>
      </w:pPr>
      <w:r>
        <w:rPr>
          <w:rFonts w:hint="eastAsia" w:ascii="宋体" w:hAnsi="宋体"/>
          <w:b/>
          <w:color w:val="000000"/>
          <w:sz w:val="24"/>
          <w:szCs w:val="24"/>
        </w:rPr>
        <w:t>6.1竞争性谈判小组</w:t>
      </w:r>
    </w:p>
    <w:p>
      <w:pPr>
        <w:widowControl/>
        <w:spacing w:line="44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6.1.1 竞争性谈判由采购人依法组建的竞争性谈判小组负责。竞争性谈判小组由采购人熟悉相关业务的代表，以及有关技术、经济等方面的专家组成。竞争性谈判小组成员人数3人及以上。竞争性谈判小组成员的名单在成交结果确定前应当保密。</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6.1.2 有下列情形之一的，不得担任竞争性谈判小组成员：</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(1）供应商或供应商的主要负责人的近亲属。</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(2）与供应商有经济利益关系，可能影响对响应公正评审的。</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(3）曾因在采购响应文件、评审以及其他与采购响应有关活动中从事违法行为而受过行政处罚或刑事处罚的。</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竞争性谈判小组成员有前款情形之一的，应当主动提出回避。</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6.2竞争性谈判原则</w:t>
      </w:r>
    </w:p>
    <w:p>
      <w:pPr>
        <w:spacing w:line="440" w:lineRule="exact"/>
        <w:ind w:firstLine="435"/>
        <w:rPr>
          <w:rFonts w:hint="eastAsia" w:ascii="宋体" w:hAnsi="宋体"/>
          <w:color w:val="000000"/>
          <w:sz w:val="24"/>
          <w:szCs w:val="24"/>
        </w:rPr>
      </w:pPr>
      <w:r>
        <w:rPr>
          <w:rFonts w:hint="eastAsia" w:ascii="宋体" w:hAnsi="宋体"/>
          <w:color w:val="000000"/>
          <w:sz w:val="24"/>
          <w:szCs w:val="24"/>
        </w:rPr>
        <w:t xml:space="preserve"> 竞争性谈判活动遵循公平、公正、科学和择优的原则。</w:t>
      </w:r>
    </w:p>
    <w:p>
      <w:pPr>
        <w:spacing w:line="440" w:lineRule="exact"/>
        <w:ind w:firstLine="435"/>
        <w:rPr>
          <w:rFonts w:hint="eastAsia" w:ascii="宋体" w:hAnsi="宋体"/>
          <w:b/>
          <w:color w:val="000000"/>
          <w:sz w:val="24"/>
          <w:szCs w:val="24"/>
        </w:rPr>
      </w:pPr>
      <w:r>
        <w:rPr>
          <w:rFonts w:hint="eastAsia" w:ascii="宋体" w:hAnsi="宋体"/>
          <w:b/>
          <w:color w:val="000000"/>
          <w:sz w:val="24"/>
          <w:szCs w:val="24"/>
        </w:rPr>
        <w:t>6.3评审</w:t>
      </w:r>
    </w:p>
    <w:p>
      <w:pPr>
        <w:spacing w:line="440" w:lineRule="exact"/>
        <w:ind w:firstLine="435"/>
        <w:rPr>
          <w:rFonts w:hint="eastAsia" w:ascii="宋体" w:hAnsi="宋体"/>
          <w:color w:val="000000"/>
          <w:sz w:val="24"/>
          <w:szCs w:val="24"/>
        </w:rPr>
      </w:pPr>
      <w:r>
        <w:rPr>
          <w:rFonts w:hint="eastAsia" w:ascii="宋体" w:hAnsi="宋体"/>
          <w:color w:val="000000"/>
          <w:sz w:val="24"/>
          <w:szCs w:val="20"/>
        </w:rPr>
        <w:t>竞争性谈判按照第三章“竞争性谈判办法”规定的方法、评审因素、标准和程序对竞争性谈判响应文件进行评审。第三章“竞争性谈判办法”没有规定的方法、评审因素和标准，不作为评审依据。</w:t>
      </w:r>
    </w:p>
    <w:p>
      <w:pPr>
        <w:keepNext/>
        <w:keepLines/>
        <w:spacing w:before="20" w:after="20" w:line="360" w:lineRule="auto"/>
        <w:jc w:val="center"/>
        <w:outlineLvl w:val="2"/>
        <w:rPr>
          <w:rFonts w:hint="eastAsia" w:ascii="黑体" w:eastAsia="黑体" w:cs="宋体"/>
          <w:b/>
          <w:bCs/>
          <w:color w:val="000000"/>
          <w:sz w:val="28"/>
          <w:szCs w:val="28"/>
        </w:rPr>
      </w:pPr>
      <w:bookmarkStart w:id="51" w:name="_Toc24553"/>
      <w:bookmarkStart w:id="52" w:name="_Toc448070718"/>
      <w:r>
        <w:rPr>
          <w:rFonts w:hint="eastAsia" w:ascii="黑体" w:eastAsia="黑体" w:cs="宋体"/>
          <w:b/>
          <w:bCs/>
          <w:color w:val="000000"/>
          <w:sz w:val="28"/>
          <w:szCs w:val="28"/>
        </w:rPr>
        <w:t>7．合同授予</w:t>
      </w:r>
      <w:bookmarkEnd w:id="51"/>
      <w:bookmarkEnd w:id="52"/>
    </w:p>
    <w:p>
      <w:pPr>
        <w:spacing w:line="460" w:lineRule="exact"/>
        <w:ind w:firstLine="435"/>
        <w:rPr>
          <w:rFonts w:hint="eastAsia" w:ascii="宋体" w:hAnsi="宋体"/>
          <w:b/>
          <w:color w:val="000000"/>
          <w:sz w:val="24"/>
          <w:szCs w:val="24"/>
        </w:rPr>
      </w:pPr>
      <w:r>
        <w:rPr>
          <w:rFonts w:hint="eastAsia" w:ascii="宋体" w:hAnsi="宋体"/>
          <w:b/>
          <w:color w:val="000000"/>
          <w:sz w:val="24"/>
          <w:szCs w:val="24"/>
        </w:rPr>
        <w:t xml:space="preserve"> 7.1合同授予标准</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7.1.1如无特殊原因和情况，竞争性谈判小组将对实质上响应竞争性谈判文件要求的供应商按照竞争性谈判文件规定的办法确定成交候选人的先后顺序。买方将把合同授予实质上响应竞争性谈判文件要求的、报价合理的成交推荐单位。</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7.1.2成交公告</w:t>
      </w:r>
    </w:p>
    <w:p>
      <w:pPr>
        <w:spacing w:line="440" w:lineRule="exact"/>
        <w:ind w:firstLine="549"/>
        <w:rPr>
          <w:rFonts w:hint="eastAsia" w:ascii="宋体" w:hAnsi="宋体"/>
          <w:color w:val="000000"/>
          <w:sz w:val="24"/>
          <w:szCs w:val="24"/>
        </w:rPr>
      </w:pPr>
      <w:r>
        <w:rPr>
          <w:rFonts w:hint="eastAsia" w:ascii="宋体" w:hAnsi="宋体"/>
          <w:color w:val="000000"/>
          <w:sz w:val="24"/>
          <w:szCs w:val="24"/>
        </w:rPr>
        <w:t>成交公告将在</w:t>
      </w:r>
      <w:r>
        <w:rPr>
          <w:rFonts w:hint="eastAsia" w:ascii="宋体" w:hAnsi="宋体"/>
          <w:color w:val="000000"/>
          <w:sz w:val="24"/>
          <w:szCs w:val="24"/>
          <w:lang w:eastAsia="zh-CN"/>
        </w:rPr>
        <w:t>阜阳工业经济学校</w:t>
      </w:r>
      <w:r>
        <w:rPr>
          <w:rFonts w:hint="eastAsia" w:ascii="宋体" w:hAnsi="宋体"/>
          <w:color w:val="000000"/>
          <w:sz w:val="24"/>
          <w:szCs w:val="24"/>
        </w:rPr>
        <w:t>网</w:t>
      </w:r>
      <w:r>
        <w:rPr>
          <w:rFonts w:hint="eastAsia" w:ascii="宋体" w:hAnsi="宋体"/>
          <w:color w:val="000000"/>
          <w:sz w:val="24"/>
          <w:szCs w:val="24"/>
          <w:lang w:eastAsia="zh-CN"/>
        </w:rPr>
        <w:t>站</w:t>
      </w:r>
      <w:r>
        <w:rPr>
          <w:rFonts w:hint="eastAsia" w:ascii="宋体" w:hAnsi="宋体"/>
          <w:color w:val="000000"/>
          <w:sz w:val="24"/>
          <w:szCs w:val="24"/>
        </w:rPr>
        <w:t>上公示。</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7.1.3竞争性谈判结束后根据需要，有可能对成交候选人进行实地考察。在考察过程中，发现有弄虚作假、业绩不实、挂靠、违法转包等行为的，取消其成交候选人资格。</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7.1.4最低报价并不是被授予合同的保证。</w:t>
      </w:r>
    </w:p>
    <w:p>
      <w:pPr>
        <w:spacing w:line="460" w:lineRule="exact"/>
        <w:ind w:firstLine="435"/>
        <w:rPr>
          <w:rFonts w:hint="eastAsia" w:ascii="宋体" w:hAnsi="宋体"/>
          <w:b/>
          <w:color w:val="000000"/>
          <w:sz w:val="24"/>
          <w:szCs w:val="24"/>
        </w:rPr>
      </w:pPr>
      <w:r>
        <w:rPr>
          <w:rFonts w:hint="eastAsia" w:ascii="宋体" w:hAnsi="宋体"/>
          <w:b/>
          <w:color w:val="000000"/>
          <w:sz w:val="24"/>
          <w:szCs w:val="24"/>
        </w:rPr>
        <w:t>7.2成交通知书</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7.2.1在响应有效期满之前将以书面形式通知成交人，其响应已被接受。</w:t>
      </w:r>
    </w:p>
    <w:p>
      <w:pPr>
        <w:spacing w:line="440" w:lineRule="exact"/>
        <w:ind w:firstLine="549"/>
        <w:rPr>
          <w:rFonts w:hint="eastAsia" w:ascii="宋体"/>
          <w:b/>
          <w:color w:val="000000"/>
          <w:sz w:val="24"/>
          <w:szCs w:val="24"/>
        </w:rPr>
      </w:pPr>
      <w:r>
        <w:rPr>
          <w:rFonts w:hint="eastAsia" w:ascii="宋体" w:hAnsi="宋体"/>
          <w:b/>
          <w:color w:val="000000"/>
          <w:sz w:val="24"/>
          <w:szCs w:val="24"/>
        </w:rPr>
        <w:t>7.2.2采购人将不对成交和未成交的原因作任何解释。</w:t>
      </w:r>
    </w:p>
    <w:p>
      <w:pPr>
        <w:spacing w:line="440" w:lineRule="exact"/>
        <w:ind w:firstLine="549"/>
        <w:rPr>
          <w:rFonts w:hint="eastAsia" w:ascii="宋体" w:hAnsi="宋体"/>
          <w:b/>
          <w:color w:val="000000"/>
          <w:sz w:val="24"/>
          <w:szCs w:val="24"/>
        </w:rPr>
      </w:pPr>
      <w:r>
        <w:rPr>
          <w:rFonts w:hint="eastAsia" w:ascii="宋体" w:hAnsi="宋体"/>
          <w:b/>
          <w:color w:val="000000"/>
          <w:sz w:val="24"/>
          <w:szCs w:val="24"/>
        </w:rPr>
        <w:t>7.3签订合同</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7.3.1成交人应在成交通知书发出</w:t>
      </w:r>
      <w:r>
        <w:rPr>
          <w:rFonts w:hint="eastAsia" w:ascii="宋体" w:hAnsi="宋体"/>
          <w:b/>
          <w:snapToGrid w:val="0"/>
          <w:color w:val="000000"/>
          <w:sz w:val="24"/>
          <w:szCs w:val="24"/>
        </w:rPr>
        <w:t>（电子邮件和电话通知时间视为成交通知书已发出，成交人须在2个工作日内领取纸质版成交通知书）</w:t>
      </w:r>
      <w:r>
        <w:rPr>
          <w:rFonts w:hint="eastAsia" w:ascii="宋体" w:hAnsi="宋体"/>
          <w:color w:val="000000"/>
          <w:sz w:val="24"/>
          <w:szCs w:val="24"/>
        </w:rPr>
        <w:t>之日起7个工作日内（具体时间、地点见成交通知书）与采购人签订合同。竞争性谈判文件、成交人的响应文件及澄清文件等，均作为合同的附件。成交人无正当理由拒签合同的，采购人取消其成交资格；给采购人造成的损失的，成交人还应当予以赔偿。</w:t>
      </w:r>
    </w:p>
    <w:p>
      <w:pPr>
        <w:spacing w:line="440" w:lineRule="exact"/>
        <w:ind w:firstLine="549"/>
        <w:rPr>
          <w:rFonts w:hint="eastAsia" w:ascii="宋体" w:hAnsi="宋体"/>
          <w:b/>
          <w:color w:val="000000"/>
          <w:sz w:val="24"/>
          <w:szCs w:val="24"/>
        </w:rPr>
      </w:pPr>
      <w:r>
        <w:rPr>
          <w:rFonts w:hint="eastAsia" w:ascii="宋体" w:hAnsi="宋体"/>
          <w:b/>
          <w:color w:val="000000"/>
          <w:sz w:val="24"/>
          <w:szCs w:val="24"/>
        </w:rPr>
        <w:t>7.3.2成交人在7.3.1规定的时间内无正当理由拒签合同的，采购人取消其成交资格；采购人有权将按照竞争性谈判小组提出的成交候选人名单排序依次确定其他成交候选人为成交人或者作出流标处理；</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7.3.3采购人保留以书面形式要求合同的卖方对其服务作适当调整的权利。卖方必须在接到买方的变更要求后及时根据本条款提出的调整内容做出同意与否的答复。</w:t>
      </w:r>
    </w:p>
    <w:p>
      <w:pPr>
        <w:spacing w:line="440" w:lineRule="exact"/>
        <w:ind w:firstLine="549"/>
        <w:rPr>
          <w:rFonts w:hint="eastAsia" w:ascii="宋体" w:hAnsi="宋体"/>
          <w:b/>
          <w:color w:val="000000"/>
          <w:sz w:val="24"/>
          <w:szCs w:val="24"/>
        </w:rPr>
      </w:pPr>
      <w:r>
        <w:rPr>
          <w:rFonts w:hint="eastAsia" w:ascii="宋体" w:hAnsi="宋体"/>
          <w:b/>
          <w:color w:val="000000"/>
          <w:sz w:val="24"/>
          <w:szCs w:val="24"/>
        </w:rPr>
        <w:t>7.4履约保证金</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7.4.1成交人自收到成交通知书之日起5个工作日内向指定账户（成交人需自行与采购人联系，以获得交纳履约担保的账户信息）缴纳履约保证金，待合同履行完毕予以退还，不计利息。</w:t>
      </w:r>
    </w:p>
    <w:p>
      <w:pPr>
        <w:spacing w:line="440" w:lineRule="exact"/>
        <w:ind w:firstLine="549"/>
        <w:rPr>
          <w:rFonts w:hint="eastAsia" w:ascii="宋体" w:hAnsi="宋体"/>
          <w:color w:val="000000"/>
          <w:sz w:val="24"/>
          <w:szCs w:val="24"/>
        </w:rPr>
      </w:pPr>
      <w:r>
        <w:rPr>
          <w:rFonts w:hint="eastAsia" w:ascii="宋体" w:hAnsi="宋体"/>
          <w:color w:val="000000"/>
          <w:sz w:val="24"/>
          <w:szCs w:val="24"/>
        </w:rPr>
        <w:t>7.4.2如果成交人未按照竞争性谈判文件规定交纳有关费用及履约保证金，采购人有权取消该响应。在此情况下采购人可将该标授予其下一个成交候选人，或重新招标。</w:t>
      </w:r>
    </w:p>
    <w:p>
      <w:pPr>
        <w:keepNext/>
        <w:keepLines/>
        <w:spacing w:before="20" w:after="20"/>
        <w:jc w:val="center"/>
        <w:outlineLvl w:val="2"/>
        <w:rPr>
          <w:rFonts w:hint="eastAsia" w:ascii="黑体" w:eastAsia="黑体" w:cs="宋体"/>
          <w:bCs/>
          <w:color w:val="000000"/>
          <w:sz w:val="28"/>
          <w:szCs w:val="28"/>
        </w:rPr>
      </w:pPr>
      <w:bookmarkStart w:id="53" w:name="_Toc18156"/>
    </w:p>
    <w:p>
      <w:pPr>
        <w:keepNext/>
        <w:keepLines/>
        <w:spacing w:before="20" w:after="20" w:line="360" w:lineRule="auto"/>
        <w:jc w:val="center"/>
        <w:outlineLvl w:val="2"/>
        <w:rPr>
          <w:rFonts w:hint="eastAsia" w:ascii="黑体" w:eastAsia="黑体" w:cs="宋体"/>
          <w:b/>
          <w:bCs/>
          <w:color w:val="000000"/>
          <w:sz w:val="28"/>
          <w:szCs w:val="28"/>
        </w:rPr>
      </w:pPr>
      <w:bookmarkStart w:id="54" w:name="_Toc448070719"/>
      <w:r>
        <w:rPr>
          <w:rFonts w:hint="eastAsia" w:ascii="黑体" w:eastAsia="黑体" w:cs="宋体"/>
          <w:b/>
          <w:bCs/>
          <w:color w:val="000000"/>
          <w:sz w:val="28"/>
          <w:szCs w:val="28"/>
        </w:rPr>
        <w:t>8．重新采购</w:t>
      </w:r>
      <w:bookmarkEnd w:id="53"/>
      <w:bookmarkEnd w:id="54"/>
    </w:p>
    <w:p>
      <w:pPr>
        <w:spacing w:line="440" w:lineRule="exact"/>
        <w:ind w:firstLine="472" w:firstLineChars="196"/>
        <w:rPr>
          <w:rFonts w:hint="eastAsia" w:ascii="宋体" w:hAnsi="宋体"/>
          <w:b/>
          <w:color w:val="000000"/>
          <w:sz w:val="24"/>
          <w:szCs w:val="24"/>
        </w:rPr>
      </w:pPr>
      <w:r>
        <w:rPr>
          <w:rFonts w:hint="eastAsia" w:ascii="宋体" w:hAnsi="宋体"/>
          <w:b/>
          <w:color w:val="000000"/>
          <w:sz w:val="24"/>
          <w:szCs w:val="24"/>
        </w:rPr>
        <w:t>8.1重新采购</w:t>
      </w:r>
    </w:p>
    <w:p>
      <w:pPr>
        <w:spacing w:line="440" w:lineRule="exact"/>
        <w:ind w:firstLine="240" w:firstLineChars="100"/>
        <w:rPr>
          <w:rFonts w:hint="eastAsia" w:ascii="宋体" w:hAnsi="宋体"/>
          <w:color w:val="000000"/>
          <w:sz w:val="24"/>
          <w:szCs w:val="24"/>
        </w:rPr>
      </w:pPr>
      <w:r>
        <w:rPr>
          <w:rFonts w:hint="eastAsia" w:ascii="宋体" w:hAnsi="宋体"/>
          <w:color w:val="000000"/>
          <w:sz w:val="24"/>
          <w:szCs w:val="24"/>
        </w:rPr>
        <w:t xml:space="preserve">  1、有下列情形之一的，将对该项目重新采购：</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(1)响应截止时，供应商少于3个的。</w:t>
      </w:r>
    </w:p>
    <w:p>
      <w:pPr>
        <w:spacing w:line="440" w:lineRule="exact"/>
        <w:rPr>
          <w:rFonts w:hint="eastAsia" w:ascii="宋体" w:hAnsi="宋体"/>
          <w:color w:val="000000"/>
          <w:sz w:val="24"/>
          <w:szCs w:val="24"/>
        </w:rPr>
      </w:pPr>
      <w:r>
        <w:rPr>
          <w:rFonts w:hint="eastAsia" w:ascii="宋体" w:hAnsi="宋体"/>
          <w:color w:val="000000"/>
          <w:sz w:val="24"/>
          <w:szCs w:val="24"/>
        </w:rPr>
        <w:t xml:space="preserve">    (2)经竞争性谈判小组评审后否决所有响应的。</w:t>
      </w:r>
    </w:p>
    <w:p>
      <w:pPr>
        <w:spacing w:line="440" w:lineRule="exact"/>
        <w:ind w:firstLine="480"/>
        <w:rPr>
          <w:rFonts w:hint="eastAsia" w:ascii="宋体" w:hAnsi="宋体"/>
          <w:color w:val="000000"/>
          <w:sz w:val="24"/>
          <w:szCs w:val="24"/>
        </w:rPr>
      </w:pPr>
      <w:r>
        <w:rPr>
          <w:rFonts w:hint="eastAsia" w:ascii="宋体" w:hAnsi="宋体"/>
          <w:color w:val="000000"/>
          <w:sz w:val="24"/>
          <w:szCs w:val="24"/>
        </w:rPr>
        <w:t>2、重新采购后供应商仍少于3个或者所有响应被否决的，属于必须审批或核准的采购项目，经原审批或核准部门批准后可以单一来源方式进行采购。</w:t>
      </w:r>
    </w:p>
    <w:p>
      <w:pPr>
        <w:keepNext/>
        <w:keepLines/>
        <w:spacing w:before="20" w:after="20" w:line="360" w:lineRule="auto"/>
        <w:jc w:val="center"/>
        <w:outlineLvl w:val="2"/>
        <w:rPr>
          <w:rFonts w:hint="eastAsia" w:ascii="黑体" w:eastAsia="黑体" w:cs="宋体"/>
          <w:b/>
          <w:bCs/>
          <w:color w:val="000000"/>
          <w:sz w:val="28"/>
          <w:szCs w:val="28"/>
        </w:rPr>
      </w:pPr>
      <w:r>
        <w:rPr>
          <w:rFonts w:hint="eastAsia" w:ascii="黑体" w:eastAsia="黑体" w:cs="宋体"/>
          <w:b/>
          <w:bCs/>
          <w:color w:val="000000"/>
          <w:sz w:val="28"/>
          <w:szCs w:val="28"/>
        </w:rPr>
        <w:t xml:space="preserve">   9.知识产权</w:t>
      </w:r>
    </w:p>
    <w:p>
      <w:pPr>
        <w:spacing w:line="440" w:lineRule="exact"/>
        <w:ind w:firstLine="480"/>
        <w:rPr>
          <w:rFonts w:hint="eastAsia" w:ascii="??_GB2312" w:hAnsi="宋体"/>
          <w:color w:val="000000"/>
          <w:sz w:val="24"/>
          <w:szCs w:val="24"/>
        </w:rPr>
      </w:pPr>
      <w:r>
        <w:rPr>
          <w:rFonts w:hint="eastAsia" w:ascii="??_GB2312" w:hAnsi="宋体"/>
          <w:color w:val="000000"/>
          <w:sz w:val="24"/>
          <w:szCs w:val="24"/>
        </w:rPr>
        <w:t>（</w:t>
      </w:r>
      <w:r>
        <w:rPr>
          <w:rFonts w:ascii="??_GB2312" w:hAnsi="宋体"/>
          <w:color w:val="000000"/>
          <w:sz w:val="24"/>
          <w:szCs w:val="24"/>
        </w:rPr>
        <w:t>1</w:t>
      </w:r>
      <w:r>
        <w:rPr>
          <w:rFonts w:hint="eastAsia" w:ascii="??_GB2312" w:hAnsi="宋体"/>
          <w:color w:val="000000"/>
          <w:sz w:val="24"/>
          <w:szCs w:val="24"/>
        </w:rPr>
        <w:t>）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pPr>
        <w:spacing w:line="440" w:lineRule="exact"/>
        <w:ind w:firstLine="480"/>
        <w:rPr>
          <w:rFonts w:ascii="??_GB2312" w:hAnsi="宋体"/>
          <w:color w:val="000000"/>
          <w:sz w:val="24"/>
          <w:szCs w:val="24"/>
        </w:rPr>
      </w:pPr>
      <w:r>
        <w:rPr>
          <w:rFonts w:hint="eastAsia" w:ascii="??_GB2312" w:hAnsi="宋体"/>
          <w:color w:val="000000"/>
          <w:sz w:val="24"/>
          <w:szCs w:val="24"/>
        </w:rPr>
        <w:t>（</w:t>
      </w:r>
      <w:r>
        <w:rPr>
          <w:rFonts w:ascii="??_GB2312" w:hAnsi="宋体"/>
          <w:color w:val="000000"/>
          <w:sz w:val="24"/>
          <w:szCs w:val="24"/>
        </w:rPr>
        <w:t>2</w:t>
      </w:r>
      <w:r>
        <w:rPr>
          <w:rFonts w:hint="eastAsia" w:ascii="??_GB2312" w:hAnsi="宋体"/>
          <w:color w:val="000000"/>
          <w:sz w:val="24"/>
          <w:szCs w:val="24"/>
        </w:rPr>
        <w:t>）响应报价应包含所有应向所有权人支付的专利权、商标权或其它知识产权的一切相关费用。</w:t>
      </w:r>
    </w:p>
    <w:p>
      <w:pPr>
        <w:spacing w:line="440" w:lineRule="exact"/>
        <w:ind w:firstLine="480"/>
        <w:rPr>
          <w:rFonts w:ascii="宋体" w:hAnsi="宋体"/>
          <w:color w:val="000000"/>
          <w:sz w:val="24"/>
          <w:szCs w:val="24"/>
        </w:rPr>
      </w:pPr>
      <w:r>
        <w:rPr>
          <w:rFonts w:hint="eastAsia" w:ascii="??_GB2312" w:hAnsi="宋体"/>
          <w:color w:val="000000"/>
          <w:sz w:val="24"/>
          <w:szCs w:val="24"/>
        </w:rPr>
        <w:t>（</w:t>
      </w:r>
      <w:r>
        <w:rPr>
          <w:rFonts w:ascii="??_GB2312" w:hAnsi="宋体"/>
          <w:color w:val="000000"/>
          <w:sz w:val="24"/>
          <w:szCs w:val="24"/>
        </w:rPr>
        <w:t>3</w:t>
      </w:r>
      <w:r>
        <w:rPr>
          <w:rFonts w:hint="eastAsia" w:ascii="??_GB2312" w:hAnsi="宋体"/>
          <w:color w:val="000000"/>
          <w:sz w:val="24"/>
          <w:szCs w:val="24"/>
        </w:rPr>
        <w:t>）</w:t>
      </w:r>
      <w:r>
        <w:rPr>
          <w:rFonts w:hint="eastAsia" w:ascii="宋体" w:hAnsi="宋体" w:cs="宋体"/>
          <w:color w:val="000000"/>
          <w:sz w:val="24"/>
          <w:szCs w:val="24"/>
        </w:rPr>
        <w:t>系统软件、通用软件必须是具有在中国境内的合法使用权或版权的正版软件，涉及到第三方提出侵权或知识产权的起诉及支付版税等费用由供应商承担所有责任及费用</w:t>
      </w:r>
      <w:r>
        <w:rPr>
          <w:rFonts w:hint="eastAsia" w:ascii="??_GB2312" w:hAnsi="宋体"/>
          <w:color w:val="000000"/>
          <w:sz w:val="24"/>
          <w:szCs w:val="24"/>
        </w:rPr>
        <w:t>。</w:t>
      </w:r>
    </w:p>
    <w:p>
      <w:pPr>
        <w:keepNext/>
        <w:keepLines/>
        <w:spacing w:before="20" w:after="20" w:line="360" w:lineRule="auto"/>
        <w:jc w:val="center"/>
        <w:outlineLvl w:val="2"/>
        <w:rPr>
          <w:rFonts w:hint="eastAsia" w:ascii="黑体" w:eastAsia="黑体" w:cs="宋体"/>
          <w:b/>
          <w:bCs/>
          <w:color w:val="000000"/>
          <w:sz w:val="28"/>
          <w:szCs w:val="28"/>
        </w:rPr>
      </w:pPr>
      <w:r>
        <w:rPr>
          <w:rFonts w:hint="eastAsia" w:ascii="黑体" w:eastAsia="黑体" w:cs="宋体"/>
          <w:b/>
          <w:bCs/>
          <w:color w:val="000000"/>
          <w:sz w:val="28"/>
          <w:szCs w:val="28"/>
        </w:rPr>
        <w:t xml:space="preserve">    </w:t>
      </w:r>
      <w:bookmarkStart w:id="55" w:name="_Toc17119"/>
      <w:bookmarkStart w:id="56" w:name="_Toc448070720"/>
      <w:r>
        <w:rPr>
          <w:rFonts w:hint="eastAsia" w:ascii="黑体" w:eastAsia="黑体" w:cs="宋体"/>
          <w:b/>
          <w:bCs/>
          <w:color w:val="000000"/>
          <w:sz w:val="28"/>
          <w:szCs w:val="28"/>
        </w:rPr>
        <w:t>10．纪律和监督</w:t>
      </w:r>
      <w:bookmarkEnd w:id="55"/>
      <w:bookmarkEnd w:id="56"/>
    </w:p>
    <w:p>
      <w:pPr>
        <w:spacing w:line="440" w:lineRule="exact"/>
        <w:ind w:firstLine="236" w:firstLineChars="98"/>
        <w:rPr>
          <w:rFonts w:hint="eastAsia" w:ascii="宋体" w:hAnsi="宋体"/>
          <w:color w:val="000000"/>
          <w:sz w:val="24"/>
          <w:szCs w:val="24"/>
        </w:rPr>
      </w:pPr>
      <w:r>
        <w:rPr>
          <w:rFonts w:hint="eastAsia" w:ascii="宋体" w:hAnsi="宋体"/>
          <w:b/>
          <w:color w:val="000000"/>
          <w:sz w:val="24"/>
          <w:szCs w:val="24"/>
        </w:rPr>
        <w:t xml:space="preserve"> 10．1对采购人的纪律要求</w:t>
      </w:r>
    </w:p>
    <w:p>
      <w:pPr>
        <w:spacing w:line="440" w:lineRule="exact"/>
        <w:rPr>
          <w:rFonts w:hint="eastAsia" w:ascii="宋体" w:hAnsi="宋体"/>
          <w:color w:val="000000"/>
          <w:sz w:val="24"/>
          <w:szCs w:val="24"/>
        </w:rPr>
      </w:pPr>
      <w:r>
        <w:rPr>
          <w:rFonts w:hint="eastAsia" w:ascii="宋体" w:hAnsi="宋体"/>
          <w:color w:val="000000"/>
          <w:sz w:val="24"/>
          <w:szCs w:val="24"/>
        </w:rPr>
        <w:t xml:space="preserve">    采购人不得泄漏采购响应活动中应当保密的情况和资料，不得与供应商串通损害国家利益、社会公共利益或者他人合法权益。</w:t>
      </w:r>
    </w:p>
    <w:p>
      <w:pPr>
        <w:spacing w:line="440" w:lineRule="exact"/>
        <w:ind w:firstLine="482" w:firstLineChars="200"/>
        <w:rPr>
          <w:rFonts w:hint="eastAsia" w:ascii="宋体" w:hAnsi="宋体"/>
          <w:b/>
          <w:color w:val="000000"/>
          <w:sz w:val="24"/>
          <w:szCs w:val="24"/>
        </w:rPr>
      </w:pPr>
      <w:r>
        <w:rPr>
          <w:rFonts w:hint="eastAsia" w:ascii="宋体" w:hAnsi="宋体"/>
          <w:b/>
          <w:color w:val="000000"/>
          <w:sz w:val="24"/>
          <w:szCs w:val="24"/>
        </w:rPr>
        <w:t>10.2对供应商的纪律要求</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供应商不得相互串通响应或者与采购人串通响应，不得与竞争性谈判小组成员串通谋取成交，不得以他人名义响应或者以其他方式弄虚作假骗取成交；供应商不得以任何方式干扰、影响竞争性谈判工作。参加竞争性谈判会人员：本项目的授权委托人或法定代表人（负责人），以上人员须按时到场参加竞争性谈判会，否则响应文件不予评审。</w:t>
      </w:r>
    </w:p>
    <w:p>
      <w:pPr>
        <w:spacing w:line="440" w:lineRule="exact"/>
        <w:ind w:firstLine="472" w:firstLineChars="196"/>
        <w:rPr>
          <w:rFonts w:hint="eastAsia" w:ascii="宋体" w:hAnsi="宋体"/>
          <w:b/>
          <w:color w:val="000000"/>
          <w:sz w:val="24"/>
          <w:szCs w:val="24"/>
        </w:rPr>
      </w:pPr>
      <w:r>
        <w:rPr>
          <w:rFonts w:hint="eastAsia" w:ascii="宋体" w:hAnsi="宋体"/>
          <w:b/>
          <w:color w:val="000000"/>
          <w:sz w:val="24"/>
          <w:szCs w:val="24"/>
        </w:rPr>
        <w:t>10.3对竞争性谈判小组成员的纪律要求</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竞争性谈判小组成员不得与采购人或者供应商串通，滥用职权影响对响应文件的客观公正评审，竞争性谈判小组成员不得收受他人的财物或者其他好处，不得向他人透漏对响应文件的评审和比较、成交候选人的推荐情况以及竞争性谈判有关的其他情况。在竞争性谈判活动中，竞争性谈判小组成员不得擅离职守，影响竞争性谈判程序正常进行。</w:t>
      </w:r>
    </w:p>
    <w:p>
      <w:pPr>
        <w:spacing w:line="440" w:lineRule="exact"/>
        <w:rPr>
          <w:rFonts w:hint="eastAsia"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10.4对与竞争性谈判活动有关的工作人员的纪律要求</w:t>
      </w:r>
    </w:p>
    <w:p>
      <w:pPr>
        <w:spacing w:line="440" w:lineRule="exact"/>
        <w:rPr>
          <w:rFonts w:hint="eastAsia" w:ascii="宋体" w:hAnsi="宋体"/>
          <w:color w:val="000000"/>
          <w:sz w:val="24"/>
          <w:szCs w:val="24"/>
        </w:rPr>
      </w:pPr>
      <w:r>
        <w:rPr>
          <w:rFonts w:hint="eastAsia" w:ascii="宋体" w:hAnsi="宋体"/>
          <w:color w:val="000000"/>
          <w:sz w:val="24"/>
          <w:szCs w:val="24"/>
        </w:rPr>
        <w:t xml:space="preserve">    与竞争性谈判活动有关的工作人员不得收受他人的财物或者其他好处，不得向他人透漏对响应文件的评审和比较、成交候选人的推荐情况以及竞争性谈判有关的其他情况。在竞争性谈判活动中，与竞争性谈判活动有关的工作人员不得擅离职守，影响竞争性谈判程序正常进行。</w:t>
      </w:r>
    </w:p>
    <w:p>
      <w:pPr>
        <w:spacing w:line="440" w:lineRule="exact"/>
        <w:ind w:firstLine="120" w:firstLineChars="50"/>
        <w:rPr>
          <w:rFonts w:hint="eastAsia" w:ascii="宋体" w:hAnsi="宋体"/>
          <w:b/>
          <w:color w:val="000000"/>
          <w:sz w:val="24"/>
          <w:szCs w:val="24"/>
        </w:rPr>
      </w:pPr>
      <w:r>
        <w:rPr>
          <w:rFonts w:hint="eastAsia" w:ascii="宋体" w:hAnsi="宋体"/>
          <w:color w:val="000000"/>
          <w:sz w:val="24"/>
          <w:szCs w:val="24"/>
        </w:rPr>
        <w:t xml:space="preserve">  </w:t>
      </w:r>
      <w:r>
        <w:rPr>
          <w:rFonts w:hint="eastAsia" w:ascii="宋体" w:hAnsi="宋体"/>
          <w:b/>
          <w:color w:val="000000"/>
          <w:sz w:val="24"/>
          <w:szCs w:val="24"/>
        </w:rPr>
        <w:t xml:space="preserve"> 10.5异议、投诉</w:t>
      </w:r>
    </w:p>
    <w:p>
      <w:pPr>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10.5.1、受理异议（质疑）的联系方式：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bCs/>
          <w:color w:val="000000"/>
          <w:kern w:val="0"/>
          <w:sz w:val="24"/>
          <w:szCs w:val="24"/>
          <w:lang w:eastAsia="zh-CN"/>
        </w:rPr>
      </w:pPr>
      <w:r>
        <w:rPr>
          <w:rFonts w:hint="eastAsia" w:ascii="宋体" w:hAnsi="宋体"/>
          <w:bCs/>
          <w:color w:val="000000"/>
          <w:kern w:val="0"/>
          <w:sz w:val="24"/>
          <w:szCs w:val="24"/>
        </w:rPr>
        <w:t>采购</w:t>
      </w:r>
      <w:r>
        <w:rPr>
          <w:rFonts w:hint="eastAsia" w:ascii="宋体" w:hAnsi="宋体"/>
          <w:bCs/>
          <w:color w:val="000000"/>
          <w:kern w:val="0"/>
          <w:sz w:val="24"/>
          <w:szCs w:val="24"/>
          <w:lang w:eastAsia="zh-CN"/>
        </w:rPr>
        <w:t>办公室</w:t>
      </w:r>
      <w:r>
        <w:rPr>
          <w:rFonts w:hint="eastAsia" w:ascii="宋体" w:hAnsi="宋体"/>
          <w:bCs/>
          <w:color w:val="000000"/>
          <w:kern w:val="0"/>
          <w:sz w:val="24"/>
          <w:szCs w:val="24"/>
        </w:rPr>
        <w:t>：</w:t>
      </w:r>
      <w:r>
        <w:rPr>
          <w:rFonts w:hint="eastAsia" w:ascii="宋体" w:hAnsi="宋体"/>
          <w:bCs/>
          <w:color w:val="000000"/>
          <w:kern w:val="0"/>
          <w:sz w:val="24"/>
          <w:szCs w:val="24"/>
          <w:lang w:eastAsia="zh-CN"/>
        </w:rPr>
        <w:t>阜阳工业经济学校采购办</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宋体" w:hAnsi="宋体" w:eastAsia="宋体"/>
          <w:bCs/>
          <w:color w:val="000000"/>
          <w:kern w:val="0"/>
          <w:sz w:val="24"/>
          <w:szCs w:val="24"/>
          <w:lang w:val="en-US" w:eastAsia="zh-CN"/>
        </w:rPr>
      </w:pPr>
      <w:r>
        <w:rPr>
          <w:rFonts w:hint="eastAsia" w:ascii="宋体" w:hAnsi="宋体"/>
          <w:bCs/>
          <w:color w:val="000000"/>
          <w:kern w:val="0"/>
          <w:sz w:val="24"/>
          <w:szCs w:val="24"/>
        </w:rPr>
        <w:t>地址：</w:t>
      </w:r>
      <w:r>
        <w:rPr>
          <w:rFonts w:hint="eastAsia" w:ascii="宋体" w:hAnsi="宋体"/>
          <w:bCs/>
          <w:color w:val="000000"/>
          <w:kern w:val="0"/>
          <w:sz w:val="24"/>
          <w:szCs w:val="24"/>
          <w:lang w:eastAsia="zh-CN"/>
        </w:rPr>
        <w:t>阜南路</w:t>
      </w:r>
      <w:r>
        <w:rPr>
          <w:rFonts w:hint="eastAsia" w:ascii="宋体" w:hAnsi="宋体"/>
          <w:bCs/>
          <w:color w:val="000000"/>
          <w:kern w:val="0"/>
          <w:sz w:val="24"/>
          <w:szCs w:val="24"/>
          <w:lang w:val="en-US" w:eastAsia="zh-CN"/>
        </w:rPr>
        <w:t>889号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bCs/>
          <w:color w:val="000000"/>
          <w:kern w:val="0"/>
          <w:sz w:val="24"/>
          <w:szCs w:val="24"/>
          <w:lang w:eastAsia="zh-CN"/>
        </w:rPr>
      </w:pPr>
      <w:r>
        <w:rPr>
          <w:rFonts w:hint="eastAsia" w:ascii="宋体" w:hAnsi="宋体"/>
          <w:bCs/>
          <w:color w:val="000000"/>
          <w:kern w:val="0"/>
          <w:sz w:val="24"/>
          <w:szCs w:val="24"/>
        </w:rPr>
        <w:t>联系人：</w:t>
      </w:r>
      <w:r>
        <w:rPr>
          <w:rFonts w:hint="eastAsia" w:ascii="宋体" w:hAnsi="宋体"/>
          <w:bCs/>
          <w:color w:val="000000"/>
          <w:kern w:val="0"/>
          <w:sz w:val="24"/>
          <w:szCs w:val="24"/>
          <w:lang w:eastAsia="zh-CN"/>
        </w:rPr>
        <w:t>段老师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default" w:ascii="宋体" w:hAnsi="宋体" w:eastAsia="宋体"/>
          <w:bCs/>
          <w:color w:val="000000"/>
          <w:kern w:val="0"/>
          <w:sz w:val="24"/>
          <w:szCs w:val="24"/>
          <w:lang w:val="en-US" w:eastAsia="zh-CN"/>
        </w:rPr>
      </w:pPr>
      <w:r>
        <w:rPr>
          <w:rFonts w:hint="eastAsia" w:ascii="宋体" w:hAnsi="宋体"/>
          <w:bCs/>
          <w:color w:val="000000"/>
          <w:kern w:val="0"/>
          <w:sz w:val="24"/>
          <w:szCs w:val="24"/>
        </w:rPr>
        <w:t>电话/传真： 0558-2</w:t>
      </w:r>
      <w:r>
        <w:rPr>
          <w:rFonts w:hint="eastAsia" w:ascii="宋体" w:hAnsi="宋体"/>
          <w:bCs/>
          <w:color w:val="000000"/>
          <w:kern w:val="0"/>
          <w:sz w:val="24"/>
          <w:szCs w:val="24"/>
          <w:lang w:val="en-US" w:eastAsia="zh-CN"/>
        </w:rPr>
        <w:t>703272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10.5.2、对竞争性谈判文件的异议（质疑）：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供应商未在本竞争性谈判文件规定的时间内提出澄清要求或未在竞争性谈判文件规定时间前提出异议（质疑）的，视为其对本竞争性谈判文件无异议（质疑），不得在竞争性谈判文件规定时间后对竞争性谈判文件相关内容提出异议（质疑）或投诉。相关部门依法不予受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10.5.3、对开标过程提出异议（质疑）的，应于开标现场提出。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10.5.4、对竞争性谈判结果的异议（质疑）：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招标响应相关各方对竞争性谈判结果有异议（质疑），应在公示期内以书面形式向</w:t>
      </w:r>
      <w:r>
        <w:rPr>
          <w:rFonts w:hint="eastAsia" w:ascii="宋体" w:hAnsi="宋体"/>
          <w:bCs/>
          <w:color w:val="000000"/>
          <w:kern w:val="0"/>
          <w:sz w:val="24"/>
          <w:szCs w:val="24"/>
        </w:rPr>
        <w:t>安徽金阳造价咨询有限公司</w:t>
      </w:r>
      <w:r>
        <w:rPr>
          <w:rFonts w:hint="eastAsia" w:ascii="宋体" w:hAnsi="宋体" w:cs="宋体"/>
          <w:bCs/>
          <w:color w:val="000000"/>
          <w:sz w:val="24"/>
          <w:szCs w:val="24"/>
        </w:rPr>
        <w:t>或采购人提出。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（1）书面异议（质疑）材料应当包括以下内容：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①提出异议（质疑）的供应商的名称、地址及有效联系方式；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②异议（质疑）对象的供应商的名称；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③异议（质疑）事项的基本事实；</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④相关请求和主张；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⑤有效线索和相关证明材料；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（2）有下列情形的异议（质疑）材料不予受理：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①书面异议（质疑）材料不完整的；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②异议（质疑）事项含有主观猜测等内容且无充分有效证据的；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③对其他供应商的响应文件详细内容异议（质疑），无法提供合法来源渠道的；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④违反相关法律法规的。</w:t>
      </w:r>
    </w:p>
    <w:p>
      <w:pPr>
        <w:tabs>
          <w:tab w:val="left" w:pos="0"/>
        </w:tabs>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pPr>
        <w:tabs>
          <w:tab w:val="left" w:pos="0"/>
        </w:tabs>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①一年内三次以上投诉均查无实据的；</w:t>
      </w:r>
    </w:p>
    <w:p>
      <w:pPr>
        <w:tabs>
          <w:tab w:val="left" w:pos="0"/>
        </w:tabs>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②捏造事实或者提供虚假投诉材料的；</w:t>
      </w:r>
    </w:p>
    <w:p>
      <w:pPr>
        <w:tabs>
          <w:tab w:val="left" w:pos="0"/>
        </w:tabs>
        <w:spacing w:line="360" w:lineRule="auto"/>
        <w:ind w:firstLine="480" w:firstLineChars="200"/>
        <w:rPr>
          <w:rFonts w:hint="eastAsia" w:hAnsi="宋体" w:cs="宋体"/>
          <w:bCs/>
          <w:color w:val="000000"/>
          <w:szCs w:val="20"/>
        </w:rPr>
      </w:pPr>
      <w:r>
        <w:rPr>
          <w:rFonts w:hint="eastAsia" w:ascii="宋体" w:hAnsi="宋体" w:cs="宋体"/>
          <w:bCs/>
          <w:color w:val="000000"/>
          <w:sz w:val="24"/>
          <w:szCs w:val="24"/>
        </w:rPr>
        <w:t>③其他经认定属于虚假、恶意投诉的行为。</w:t>
      </w:r>
    </w:p>
    <w:p>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1"/>
        <w:rPr>
          <w:rFonts w:ascii="宋体" w:hAnsi="宋体" w:cs="宋体"/>
          <w:b/>
          <w:color w:val="000000"/>
          <w:kern w:val="0"/>
          <w:sz w:val="24"/>
          <w:szCs w:val="24"/>
        </w:rPr>
      </w:pPr>
      <w:bookmarkStart w:id="57" w:name="_Toc448070722"/>
      <w:bookmarkStart w:id="58" w:name="_Toc13310"/>
      <w:r>
        <w:rPr>
          <w:rFonts w:hint="eastAsia" w:ascii="宋体" w:hAnsi="宋体" w:cs="宋体"/>
          <w:b/>
          <w:color w:val="000000"/>
          <w:kern w:val="0"/>
          <w:sz w:val="24"/>
          <w:szCs w:val="24"/>
        </w:rPr>
        <w:t>11．解释权</w:t>
      </w:r>
      <w:bookmarkEnd w:id="57"/>
      <w:bookmarkEnd w:id="58"/>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549"/>
        <w:rPr>
          <w:rFonts w:hint="eastAsia" w:ascii="宋体" w:hAnsi="宋体"/>
          <w:color w:val="000000"/>
          <w:sz w:val="24"/>
          <w:szCs w:val="24"/>
        </w:rPr>
      </w:pPr>
      <w:r>
        <w:rPr>
          <w:rFonts w:hint="eastAsia" w:ascii="宋体" w:hAnsi="宋体"/>
          <w:color w:val="000000"/>
          <w:sz w:val="24"/>
          <w:szCs w:val="24"/>
        </w:rPr>
        <w:t>12.1本竞争性谈判文件的解释权属于采购人。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549"/>
        <w:rPr>
          <w:rFonts w:hint="eastAsia" w:ascii="宋体" w:hAnsi="宋体"/>
          <w:color w:val="000000"/>
          <w:sz w:val="24"/>
          <w:szCs w:val="24"/>
        </w:rPr>
      </w:pPr>
      <w:r>
        <w:rPr>
          <w:rFonts w:hint="eastAsia" w:ascii="宋体" w:hAnsi="宋体"/>
          <w:color w:val="000000"/>
          <w:sz w:val="24"/>
          <w:szCs w:val="24"/>
        </w:rPr>
        <w:t>12.2未尽事宜，按有关法律法规的规定执行。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549"/>
        <w:rPr>
          <w:rFonts w:hint="eastAsia" w:ascii="宋体" w:hAnsi="宋体"/>
          <w:color w:val="00000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rPr>
        <w:sectPr>
          <w:pgSz w:w="11907" w:h="16840"/>
          <w:pgMar w:top="1418" w:right="1418" w:bottom="1418" w:left="1440" w:header="851" w:footer="992" w:gutter="0"/>
          <w:pgNumType w:start="1"/>
          <w:cols w:space="720" w:num="1"/>
        </w:sectPr>
      </w:pPr>
    </w:p>
    <w:p>
      <w:pPr>
        <w:pStyle w:val="26"/>
        <w:spacing w:before="120" w:after="120" w:line="360" w:lineRule="auto"/>
      </w:pPr>
      <w:r>
        <w:rPr>
          <w:rFonts w:hint="eastAsia"/>
        </w:rPr>
        <w:t>第三章 评审办法</w:t>
      </w:r>
      <w:bookmarkEnd w:id="21"/>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9033" w:type="dxa"/>
            <w:noWrap w:val="0"/>
            <w:vAlign w:val="center"/>
          </w:tcPr>
          <w:p>
            <w:pPr>
              <w:jc w:val="center"/>
              <w:rPr>
                <w:rFonts w:hint="eastAsia" w:ascii="宋体" w:hAnsi="宋体" w:cs="宋体"/>
                <w:b/>
                <w:bCs/>
                <w:sz w:val="24"/>
              </w:rPr>
            </w:pPr>
            <w:bookmarkStart w:id="59" w:name="_Toc20804"/>
            <w:r>
              <w:rPr>
                <w:rFonts w:hint="eastAsia"/>
                <w:b/>
                <w:sz w:val="24"/>
              </w:rPr>
              <w:t>谈判小组否决其响应的条款</w:t>
            </w:r>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33" w:type="dxa"/>
            <w:noWrap w:val="0"/>
            <w:vAlign w:val="top"/>
          </w:tcPr>
          <w:p>
            <w:pPr>
              <w:shd w:val="clear" w:color="auto" w:fill="FFFFFF"/>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供应商有以下情形之一的，初步评审后其投标作废标处理：</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(1）串通投标或弄虚作假或有其他违法行为的。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串通投标行为是指：</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（a）不同供应商的响应文件内容存在非正常一致的；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（b）不同供应商的响应报价或报价组成异常一致或呈规律性变化的；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（c）不同供应商委托同一人投标或与同一人联合响应的；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（d）不同供应商的响应文件载明的项目管理班子成员出现同一人的；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（e）不同供应商的响应文件相互混装的；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（f）不同供应商使用同一人或企业资金缴纳谈判保证金的；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（g）不同供应商聘请同一人或同一中介机构为其响应提供技术或经济咨询服务的；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(2）凡在阜阳市行政区域内被各级招投标监督部门或行业主管部门处罚，列入不良记录且在处罚期内的。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(3）不按评审委员会要求澄清、说明或补正的。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(4)投标函中响应报价、工期、质量标准、项目负责人、技术规格或其它实质性要求不能满足竞争性谈判文件要求,或作出的承诺与竞争性谈判文件中提供的投标函样本中相关内容相抵触或有遗漏的。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(5)未按规定的格式填写，实质性内容不全或关键字迹模糊、无法辨认的。</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(6)供应商递交两份或多份内容不同的响应文件，或在一份响应文件中对同一采购项目报有两个或多个报价，且未声明哪一个有效的。按竞争性谈判文件规定提交备选响应方案的除外。</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 响应文件中存在采购人不能接受的其它实质性条件。</w:t>
            </w:r>
          </w:p>
          <w:p>
            <w:pPr>
              <w:shd w:val="clear" w:color="auto" w:fill="FFFFFF"/>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供应商有以下情形之一的，作否决其响应处理：</w:t>
            </w:r>
          </w:p>
          <w:p>
            <w:pPr>
              <w:shd w:val="clear" w:color="auto" w:fill="FFFFFF"/>
              <w:snapToGrid w:val="0"/>
              <w:spacing w:line="360" w:lineRule="auto"/>
              <w:ind w:firstLine="240" w:firstLineChars="100"/>
              <w:rPr>
                <w:rFonts w:hint="eastAsia" w:ascii="宋体" w:hAnsi="宋体" w:cs="宋体"/>
                <w:bCs/>
                <w:sz w:val="24"/>
                <w:szCs w:val="24"/>
              </w:rPr>
            </w:pPr>
            <w:r>
              <w:rPr>
                <w:rFonts w:hint="eastAsia" w:ascii="宋体" w:hAnsi="宋体" w:cs="宋体"/>
                <w:bCs/>
                <w:sz w:val="24"/>
                <w:szCs w:val="24"/>
              </w:rPr>
              <w:t>(1)响应报价等于或高于控制价的。</w:t>
            </w:r>
          </w:p>
          <w:p>
            <w:pPr>
              <w:shd w:val="clear" w:color="auto" w:fill="FFFFFF"/>
              <w:snapToGrid w:val="0"/>
              <w:spacing w:line="360" w:lineRule="auto"/>
              <w:ind w:firstLine="240" w:firstLineChars="100"/>
              <w:rPr>
                <w:rFonts w:hint="eastAsia" w:ascii="宋体" w:hAnsi="宋体" w:cs="宋体"/>
                <w:bCs/>
                <w:sz w:val="24"/>
                <w:szCs w:val="24"/>
              </w:rPr>
            </w:pPr>
            <w:r>
              <w:rPr>
                <w:rFonts w:hint="eastAsia" w:ascii="宋体" w:hAnsi="宋体" w:cs="宋体"/>
                <w:bCs/>
                <w:sz w:val="24"/>
                <w:szCs w:val="24"/>
              </w:rPr>
              <w:t>(2)供应商拒不按照要求对响应文件进行澄清、说明、补正的。</w:t>
            </w:r>
          </w:p>
          <w:p>
            <w:pPr>
              <w:shd w:val="clear" w:color="auto" w:fill="FFFFFF"/>
              <w:snapToGrid w:val="0"/>
              <w:spacing w:line="360" w:lineRule="auto"/>
              <w:ind w:firstLine="240" w:firstLineChars="100"/>
              <w:rPr>
                <w:rFonts w:hint="eastAsia" w:ascii="宋体" w:hAnsi="宋体" w:cs="宋体"/>
                <w:bCs/>
                <w:sz w:val="24"/>
                <w:szCs w:val="24"/>
              </w:rPr>
            </w:pPr>
            <w:r>
              <w:rPr>
                <w:rFonts w:hint="eastAsia" w:ascii="宋体" w:hAnsi="宋体" w:cs="宋体"/>
                <w:bCs/>
                <w:sz w:val="24"/>
                <w:szCs w:val="24"/>
              </w:rPr>
              <w:t>(3)响应报价中变更暂列金额或采购人提供的暂估价的。</w:t>
            </w:r>
          </w:p>
          <w:p>
            <w:pPr>
              <w:shd w:val="clear" w:color="auto" w:fill="FFFFFF"/>
              <w:snapToGrid w:val="0"/>
              <w:spacing w:line="360" w:lineRule="auto"/>
              <w:ind w:firstLine="240" w:firstLineChars="100"/>
              <w:rPr>
                <w:rFonts w:hint="eastAsia" w:ascii="宋体" w:hAnsi="宋体" w:cs="宋体"/>
                <w:bCs/>
              </w:rPr>
            </w:pPr>
            <w:r>
              <w:rPr>
                <w:rFonts w:hint="eastAsia" w:ascii="宋体" w:hAnsi="宋体" w:cs="宋体"/>
                <w:bCs/>
                <w:sz w:val="24"/>
                <w:szCs w:val="24"/>
              </w:rPr>
              <w:t>（8）法律、法规规定的其它情形</w:t>
            </w:r>
          </w:p>
        </w:tc>
      </w:tr>
    </w:tbl>
    <w:p>
      <w:pPr>
        <w:rPr>
          <w:rFonts w:hint="eastAsia" w:ascii="宋体" w:hAnsi="宋体" w:cs="宋体"/>
          <w:b/>
          <w:bCs/>
          <w:sz w:val="32"/>
          <w:szCs w:val="32"/>
        </w:rPr>
      </w:pPr>
      <w:r>
        <w:rPr>
          <w:rFonts w:hint="eastAsia" w:ascii="宋体" w:hAnsi="宋体" w:cs="宋体"/>
          <w:b/>
          <w:bCs/>
          <w:sz w:val="28"/>
          <w:szCs w:val="28"/>
        </w:rPr>
        <w:t xml:space="preserve">                       </w:t>
      </w:r>
      <w:r>
        <w:rPr>
          <w:rFonts w:hint="eastAsia" w:ascii="宋体" w:hAnsi="宋体" w:cs="宋体"/>
          <w:b/>
          <w:bCs/>
          <w:sz w:val="32"/>
          <w:szCs w:val="32"/>
        </w:rPr>
        <w:t>评审办法前附表</w:t>
      </w:r>
    </w:p>
    <w:tbl>
      <w:tblPr>
        <w:tblStyle w:val="28"/>
        <w:tblW w:w="92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2175"/>
        <w:gridCol w:w="59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035" w:type="dxa"/>
            <w:tcBorders>
              <w:top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sz w:val="24"/>
                <w:szCs w:val="24"/>
              </w:rPr>
            </w:pPr>
            <w:r>
              <w:rPr>
                <w:rFonts w:hint="eastAsia" w:ascii="宋体" w:hAnsi="宋体" w:cs="宋体"/>
                <w:sz w:val="24"/>
                <w:szCs w:val="24"/>
              </w:rPr>
              <w:t>评审内容</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sz w:val="24"/>
                <w:szCs w:val="24"/>
              </w:rPr>
            </w:pPr>
            <w:r>
              <w:rPr>
                <w:rFonts w:hint="eastAsia" w:ascii="宋体" w:hAnsi="宋体" w:cs="宋体"/>
                <w:sz w:val="24"/>
                <w:szCs w:val="24"/>
              </w:rPr>
              <w:t>评审因素</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jc w:val="center"/>
              <w:rPr>
                <w:rFonts w:ascii="宋体"/>
                <w:sz w:val="24"/>
                <w:szCs w:val="24"/>
              </w:rPr>
            </w:pPr>
            <w:r>
              <w:rPr>
                <w:rFonts w:hint="eastAsia" w:ascii="宋体" w:hAnsi="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5" w:hRule="atLeast"/>
        </w:trPr>
        <w:tc>
          <w:tcPr>
            <w:tcW w:w="1035" w:type="dxa"/>
            <w:vMerge w:val="restart"/>
            <w:tcBorders>
              <w:top w:val="single" w:color="auto" w:sz="4" w:space="0"/>
              <w:right w:val="single" w:color="auto" w:sz="4" w:space="0"/>
            </w:tcBorders>
            <w:noWrap w:val="0"/>
            <w:vAlign w:val="center"/>
          </w:tcPr>
          <w:p>
            <w:pPr>
              <w:spacing w:before="100" w:beforeAutospacing="1" w:after="100" w:afterAutospacing="1"/>
              <w:jc w:val="center"/>
              <w:rPr>
                <w:rFonts w:ascii="宋体"/>
                <w:sz w:val="24"/>
                <w:szCs w:val="24"/>
              </w:rPr>
            </w:pPr>
            <w:r>
              <w:rPr>
                <w:rFonts w:hint="eastAsia" w:ascii="宋体" w:hAnsi="宋体" w:cs="宋体"/>
                <w:sz w:val="24"/>
                <w:szCs w:val="24"/>
              </w:rPr>
              <w:t>符合性评审</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sz w:val="24"/>
                <w:szCs w:val="24"/>
              </w:rPr>
            </w:pPr>
            <w:r>
              <w:rPr>
                <w:rFonts w:hint="eastAsia" w:ascii="宋体" w:hAnsi="宋体" w:cs="宋体"/>
                <w:sz w:val="24"/>
                <w:szCs w:val="24"/>
              </w:rPr>
              <w:t>营业执照</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jc w:val="both"/>
              <w:rPr>
                <w:rFonts w:ascii="宋体"/>
                <w:sz w:val="24"/>
                <w:szCs w:val="24"/>
              </w:rPr>
            </w:pPr>
            <w:r>
              <w:rPr>
                <w:rFonts w:hint="eastAsia" w:ascii="宋体" w:hAnsi="宋体" w:cs="宋体"/>
                <w:sz w:val="24"/>
                <w:szCs w:val="24"/>
              </w:rPr>
              <w:t>具备有效的营业执照，验复印件加盖单位公章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1035" w:type="dxa"/>
            <w:vMerge w:val="continue"/>
            <w:tcBorders>
              <w:right w:val="single" w:color="auto" w:sz="4" w:space="0"/>
            </w:tcBorders>
            <w:noWrap w:val="0"/>
            <w:vAlign w:val="center"/>
          </w:tcPr>
          <w:p>
            <w:pPr>
              <w:rPr>
                <w:rFonts w:ascii="宋体"/>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default" w:ascii="宋体" w:eastAsia="宋体"/>
                <w:sz w:val="24"/>
                <w:szCs w:val="24"/>
                <w:lang w:val="en-US" w:eastAsia="zh-CN"/>
              </w:rPr>
            </w:pPr>
            <w:r>
              <w:rPr>
                <w:rFonts w:hint="eastAsia" w:ascii="宋体"/>
                <w:sz w:val="24"/>
                <w:szCs w:val="24"/>
                <w:lang w:val="en-US" w:eastAsia="zh-CN"/>
              </w:rPr>
              <w:t>法定代表人授权书</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jc w:val="both"/>
              <w:rPr>
                <w:rFonts w:ascii="宋体"/>
                <w:sz w:val="24"/>
                <w:szCs w:val="24"/>
              </w:rPr>
            </w:pPr>
            <w:r>
              <w:rPr>
                <w:rFonts w:hint="eastAsia" w:ascii="宋体" w:hAnsi="宋体" w:cs="宋体"/>
                <w:sz w:val="24"/>
                <w:szCs w:val="24"/>
              </w:rPr>
              <w:t>符合</w:t>
            </w:r>
            <w:r>
              <w:rPr>
                <w:rFonts w:hint="eastAsia" w:ascii="宋体" w:hAnsi="宋体" w:cs="宋体"/>
                <w:sz w:val="24"/>
                <w:szCs w:val="24"/>
                <w:lang w:val="en-US" w:eastAsia="zh-CN"/>
              </w:rPr>
              <w:t>竞谈文件</w:t>
            </w:r>
            <w:r>
              <w:rPr>
                <w:rFonts w:hint="eastAsia" w:ascii="宋体" w:hAnsi="宋体" w:cs="宋体"/>
                <w:sz w:val="24"/>
                <w:szCs w:val="24"/>
              </w:rPr>
              <w:t>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trPr>
        <w:tc>
          <w:tcPr>
            <w:tcW w:w="1035" w:type="dxa"/>
            <w:vMerge w:val="continue"/>
            <w:tcBorders>
              <w:right w:val="single" w:color="auto" w:sz="4" w:space="0"/>
            </w:tcBorders>
            <w:noWrap w:val="0"/>
            <w:vAlign w:val="center"/>
          </w:tcPr>
          <w:p>
            <w:pPr>
              <w:rPr>
                <w:rFonts w:ascii="宋体"/>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default" w:ascii="宋体" w:eastAsia="宋体"/>
                <w:sz w:val="24"/>
                <w:szCs w:val="24"/>
                <w:lang w:val="en-US" w:eastAsia="zh-CN"/>
              </w:rPr>
            </w:pPr>
            <w:r>
              <w:rPr>
                <w:rFonts w:hint="eastAsia" w:ascii="宋体"/>
                <w:sz w:val="24"/>
                <w:szCs w:val="24"/>
                <w:lang w:val="en-US" w:eastAsia="zh-CN"/>
              </w:rPr>
              <w:t>报价函</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jc w:val="both"/>
              <w:rPr>
                <w:rFonts w:ascii="宋体"/>
                <w:sz w:val="24"/>
                <w:szCs w:val="24"/>
              </w:rPr>
            </w:pPr>
            <w:r>
              <w:rPr>
                <w:rFonts w:hint="eastAsia" w:ascii="宋体" w:hAnsi="宋体" w:cs="宋体"/>
                <w:sz w:val="24"/>
                <w:szCs w:val="24"/>
              </w:rPr>
              <w:t>符合</w:t>
            </w:r>
            <w:r>
              <w:rPr>
                <w:rFonts w:hint="eastAsia" w:ascii="宋体" w:hAnsi="宋体" w:cs="宋体"/>
                <w:sz w:val="24"/>
                <w:szCs w:val="24"/>
                <w:lang w:val="en-US" w:eastAsia="zh-CN"/>
              </w:rPr>
              <w:t>竞谈文件</w:t>
            </w:r>
            <w:r>
              <w:rPr>
                <w:rFonts w:hint="eastAsia" w:ascii="宋体" w:hAnsi="宋体" w:cs="宋体"/>
                <w:sz w:val="24"/>
                <w:szCs w:val="24"/>
              </w:rPr>
              <w:t>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1035" w:type="dxa"/>
            <w:vMerge w:val="continue"/>
            <w:tcBorders>
              <w:right w:val="single" w:color="auto" w:sz="4" w:space="0"/>
            </w:tcBorders>
            <w:noWrap w:val="0"/>
            <w:vAlign w:val="center"/>
          </w:tcPr>
          <w:p>
            <w:pPr>
              <w:rPr>
                <w:rFonts w:ascii="宋体"/>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响应表</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jc w:val="both"/>
              <w:rPr>
                <w:rFonts w:hint="default" w:ascii="宋体" w:hAnsi="宋体" w:cs="宋体"/>
                <w:sz w:val="24"/>
                <w:szCs w:val="24"/>
                <w:lang w:val="en-US" w:eastAsia="zh-CN"/>
              </w:rPr>
            </w:pPr>
            <w:r>
              <w:rPr>
                <w:rFonts w:hint="eastAsia" w:ascii="宋体" w:hAnsi="宋体" w:cs="宋体"/>
                <w:sz w:val="24"/>
                <w:szCs w:val="24"/>
                <w:lang w:val="en-US" w:eastAsia="zh-CN"/>
              </w:rPr>
              <w:t>满足或优于商务及技术要求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1035" w:type="dxa"/>
            <w:vMerge w:val="continue"/>
            <w:tcBorders>
              <w:right w:val="single" w:color="auto" w:sz="4" w:space="0"/>
            </w:tcBorders>
            <w:noWrap w:val="0"/>
            <w:vAlign w:val="center"/>
          </w:tcPr>
          <w:p>
            <w:pPr>
              <w:rPr>
                <w:rFonts w:ascii="宋体"/>
                <w:sz w:val="24"/>
                <w:szCs w:val="24"/>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其他</w:t>
            </w:r>
          </w:p>
        </w:tc>
        <w:tc>
          <w:tcPr>
            <w:tcW w:w="5990"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法律法规或竞谈文件规定的其他情形</w:t>
            </w:r>
          </w:p>
        </w:tc>
      </w:tr>
    </w:tbl>
    <w:p>
      <w:pPr>
        <w:pStyle w:val="2"/>
        <w:rPr>
          <w:rFonts w:hint="eastAsia"/>
        </w:rPr>
      </w:pPr>
    </w:p>
    <w:p>
      <w:pPr>
        <w:spacing w:line="360" w:lineRule="auto"/>
        <w:ind w:firstLine="482" w:firstLineChars="200"/>
        <w:rPr>
          <w:rFonts w:hint="eastAsia" w:ascii="宋体" w:hAnsi="宋体" w:cs="宋体"/>
          <w:sz w:val="24"/>
          <w:szCs w:val="24"/>
        </w:rPr>
      </w:pPr>
      <w:r>
        <w:rPr>
          <w:rFonts w:hint="eastAsia" w:ascii="宋体" w:hAnsi="宋体" w:cs="宋体"/>
          <w:b/>
          <w:bCs/>
          <w:sz w:val="24"/>
          <w:szCs w:val="24"/>
        </w:rPr>
        <w:t>以上参与评审的证书、证件等资料复印件并加盖公章胶装在响应文件中，不需要提供原件；</w:t>
      </w:r>
      <w:r>
        <w:rPr>
          <w:rFonts w:hint="eastAsia"/>
          <w:b/>
          <w:sz w:val="24"/>
          <w:szCs w:val="24"/>
        </w:rPr>
        <w:t>以上有一项不符合评审标准的，视为未通过，按无效标处理，不再进入下阶段评审程序。</w:t>
      </w:r>
    </w:p>
    <w:p>
      <w:pPr>
        <w:spacing w:line="440" w:lineRule="exact"/>
        <w:ind w:firstLine="482" w:firstLineChars="200"/>
        <w:rPr>
          <w:rFonts w:hint="eastAsia" w:ascii="宋体" w:hAnsi="宋体"/>
          <w:b/>
          <w:sz w:val="24"/>
        </w:rPr>
      </w:pPr>
      <w:bookmarkStart w:id="60" w:name="_Toc179632785"/>
      <w:bookmarkStart w:id="61" w:name="_Toc152042546"/>
      <w:bookmarkStart w:id="62" w:name="_Toc144974826"/>
      <w:bookmarkStart w:id="63" w:name="_Toc152045767"/>
      <w:r>
        <w:rPr>
          <w:rFonts w:hint="eastAsia" w:ascii="宋体"/>
          <w:b/>
          <w:bCs/>
          <w:sz w:val="24"/>
          <w:szCs w:val="24"/>
        </w:rPr>
        <w:t xml:space="preserve"> </w:t>
      </w:r>
      <w:r>
        <w:rPr>
          <w:rFonts w:hint="eastAsia" w:ascii="宋体" w:hAnsi="宋体"/>
          <w:b/>
          <w:sz w:val="24"/>
        </w:rPr>
        <w:t>1. 评审方法</w:t>
      </w:r>
    </w:p>
    <w:p>
      <w:pPr>
        <w:pStyle w:val="67"/>
        <w:spacing w:line="440" w:lineRule="exact"/>
        <w:ind w:firstLine="480" w:firstLineChars="200"/>
        <w:rPr>
          <w:rFonts w:hint="eastAsia"/>
          <w:sz w:val="24"/>
          <w:szCs w:val="24"/>
        </w:rPr>
      </w:pPr>
      <w:r>
        <w:rPr>
          <w:rFonts w:hint="eastAsia"/>
          <w:sz w:val="24"/>
          <w:szCs w:val="24"/>
        </w:rPr>
        <w:t>1.1谈判小组依据本章评审标准规定对响应文件进行评审。</w:t>
      </w:r>
    </w:p>
    <w:p>
      <w:pPr>
        <w:pStyle w:val="67"/>
        <w:spacing w:line="440" w:lineRule="exact"/>
        <w:ind w:firstLine="480" w:firstLineChars="200"/>
        <w:rPr>
          <w:rFonts w:hint="eastAsia"/>
          <w:sz w:val="24"/>
          <w:szCs w:val="24"/>
        </w:rPr>
      </w:pPr>
      <w:r>
        <w:rPr>
          <w:rFonts w:hint="eastAsia"/>
          <w:sz w:val="24"/>
          <w:szCs w:val="24"/>
        </w:rPr>
        <w:t>1.2 供应商有以下情形之一的，其响应作否决其响应处理：</w:t>
      </w:r>
    </w:p>
    <w:p>
      <w:pPr>
        <w:pStyle w:val="67"/>
        <w:spacing w:line="440" w:lineRule="exact"/>
        <w:rPr>
          <w:rFonts w:hint="eastAsia"/>
          <w:sz w:val="24"/>
          <w:szCs w:val="24"/>
        </w:rPr>
      </w:pPr>
      <w:r>
        <w:rPr>
          <w:rFonts w:hint="eastAsia"/>
          <w:sz w:val="24"/>
          <w:szCs w:val="24"/>
        </w:rPr>
        <w:t xml:space="preserve">    1.2.1详见《第三章“评审办法”谈判小组否决其响应的条款》所列内容。</w:t>
      </w:r>
    </w:p>
    <w:p>
      <w:pPr>
        <w:pStyle w:val="67"/>
        <w:spacing w:line="440" w:lineRule="exact"/>
        <w:ind w:firstLine="480" w:firstLineChars="200"/>
        <w:rPr>
          <w:rFonts w:hint="eastAsia"/>
          <w:sz w:val="24"/>
          <w:szCs w:val="24"/>
        </w:rPr>
      </w:pPr>
      <w:r>
        <w:rPr>
          <w:rFonts w:hint="eastAsia"/>
          <w:sz w:val="24"/>
          <w:szCs w:val="24"/>
        </w:rPr>
        <w:t>1.3响应文件中的大写金额与小写金额不一致的，以大写金额为准，调整或修正的价格经供应商书面确认后具有约束力。</w:t>
      </w:r>
    </w:p>
    <w:p>
      <w:pPr>
        <w:pStyle w:val="67"/>
        <w:spacing w:line="440" w:lineRule="exact"/>
        <w:ind w:firstLine="480" w:firstLineChars="200"/>
        <w:rPr>
          <w:rFonts w:hint="eastAsia"/>
          <w:sz w:val="24"/>
          <w:szCs w:val="24"/>
        </w:rPr>
      </w:pPr>
      <w:r>
        <w:rPr>
          <w:rFonts w:hint="eastAsia"/>
          <w:sz w:val="24"/>
          <w:szCs w:val="24"/>
        </w:rPr>
        <w:t>1.4供应商的报价明显低于其他响应报价，谈判小组认为其响应报价可能低于成本的，应当要求该供应商作出书面说明并提供相应的证明材料。供应商不能合理说明或者不能提供相应证明材料的，由谈判小组讨论认定该供应商以低于成本报价竞标，作否决其响应处理。</w:t>
      </w:r>
    </w:p>
    <w:p>
      <w:pPr>
        <w:pStyle w:val="67"/>
        <w:spacing w:line="440" w:lineRule="exact"/>
        <w:ind w:firstLine="482" w:firstLineChars="200"/>
        <w:rPr>
          <w:rFonts w:hint="eastAsia"/>
          <w:sz w:val="24"/>
          <w:szCs w:val="24"/>
        </w:rPr>
      </w:pPr>
      <w:r>
        <w:rPr>
          <w:rFonts w:hint="eastAsia"/>
          <w:b/>
          <w:bCs/>
          <w:sz w:val="24"/>
          <w:szCs w:val="24"/>
        </w:rPr>
        <w:t>2. 谈判原则</w:t>
      </w:r>
    </w:p>
    <w:p>
      <w:pPr>
        <w:pStyle w:val="67"/>
        <w:shd w:val="clear" w:color="auto" w:fill="FFFFFF"/>
        <w:spacing w:line="440" w:lineRule="exact"/>
        <w:ind w:firstLine="480" w:firstLineChars="200"/>
        <w:rPr>
          <w:rFonts w:hint="eastAsia"/>
          <w:b/>
          <w:bCs/>
          <w:sz w:val="24"/>
          <w:szCs w:val="24"/>
        </w:rPr>
      </w:pPr>
      <w:r>
        <w:rPr>
          <w:rFonts w:hint="eastAsia"/>
          <w:sz w:val="24"/>
          <w:szCs w:val="24"/>
        </w:rPr>
        <w:t>遵循公平、公正、科学、择优的原则。</w:t>
      </w:r>
    </w:p>
    <w:p>
      <w:pPr>
        <w:pStyle w:val="67"/>
        <w:spacing w:line="440" w:lineRule="exact"/>
        <w:ind w:firstLine="482" w:firstLineChars="200"/>
        <w:rPr>
          <w:rFonts w:hint="eastAsia"/>
          <w:b/>
          <w:bCs/>
          <w:sz w:val="24"/>
          <w:szCs w:val="24"/>
        </w:rPr>
      </w:pPr>
      <w:r>
        <w:rPr>
          <w:rFonts w:hint="eastAsia"/>
          <w:b/>
          <w:bCs/>
          <w:sz w:val="24"/>
          <w:szCs w:val="24"/>
        </w:rPr>
        <w:t>3. 谈判小组组成及职责</w:t>
      </w:r>
    </w:p>
    <w:p>
      <w:pPr>
        <w:pStyle w:val="67"/>
        <w:shd w:val="clear" w:color="auto" w:fill="FFFFFF"/>
        <w:spacing w:line="440" w:lineRule="exact"/>
        <w:ind w:firstLine="482" w:firstLineChars="200"/>
        <w:rPr>
          <w:rFonts w:hint="eastAsia"/>
          <w:b/>
          <w:bCs/>
          <w:sz w:val="24"/>
          <w:szCs w:val="24"/>
        </w:rPr>
      </w:pPr>
      <w:r>
        <w:rPr>
          <w:rFonts w:hint="eastAsia"/>
          <w:b/>
          <w:bCs/>
          <w:sz w:val="24"/>
          <w:szCs w:val="24"/>
        </w:rPr>
        <w:t>3.1谈判小组</w:t>
      </w:r>
    </w:p>
    <w:p>
      <w:pPr>
        <w:pStyle w:val="67"/>
        <w:shd w:val="clear" w:color="auto" w:fill="FFFFFF"/>
        <w:spacing w:line="440" w:lineRule="exact"/>
        <w:ind w:firstLine="480" w:firstLineChars="200"/>
        <w:rPr>
          <w:rFonts w:hint="eastAsia"/>
          <w:sz w:val="24"/>
          <w:szCs w:val="24"/>
        </w:rPr>
      </w:pPr>
      <w:r>
        <w:rPr>
          <w:rFonts w:hint="eastAsia"/>
          <w:sz w:val="24"/>
          <w:szCs w:val="24"/>
        </w:rPr>
        <w:t>谈判小组由采购人依法组建。所有谈判小组成员推举产生谈判小组组长。</w:t>
      </w:r>
    </w:p>
    <w:p>
      <w:pPr>
        <w:pStyle w:val="67"/>
        <w:shd w:val="clear" w:color="auto" w:fill="FFFFFF"/>
        <w:snapToGrid w:val="0"/>
        <w:spacing w:line="440" w:lineRule="exact"/>
        <w:ind w:firstLine="482" w:firstLineChars="200"/>
        <w:rPr>
          <w:rFonts w:hint="eastAsia"/>
          <w:b/>
          <w:bCs/>
          <w:sz w:val="24"/>
          <w:szCs w:val="24"/>
        </w:rPr>
      </w:pPr>
      <w:r>
        <w:rPr>
          <w:rFonts w:hint="eastAsia"/>
          <w:b/>
          <w:bCs/>
          <w:sz w:val="24"/>
          <w:szCs w:val="24"/>
        </w:rPr>
        <w:t>3.2 谈判小组的职责</w:t>
      </w:r>
    </w:p>
    <w:p>
      <w:pPr>
        <w:pStyle w:val="67"/>
        <w:shd w:val="clear" w:color="auto" w:fill="FFFFFF"/>
        <w:snapToGrid w:val="0"/>
        <w:spacing w:line="440" w:lineRule="exact"/>
        <w:ind w:firstLine="480" w:firstLineChars="200"/>
        <w:rPr>
          <w:rFonts w:hint="eastAsia"/>
          <w:sz w:val="24"/>
          <w:szCs w:val="24"/>
        </w:rPr>
      </w:pPr>
      <w:r>
        <w:rPr>
          <w:rFonts w:hint="eastAsia"/>
          <w:sz w:val="24"/>
          <w:szCs w:val="24"/>
        </w:rPr>
        <w:t>谈判小组应当根据评审办法，对响应文件进行评审和比较，向采购人推荐成交候选人或根据采购人的授权直接确定成交人。各谈判小组独立评审，提出评审意见，不受任何单位或者个人的干预。各谈判小组成员对各自评审结果负责，并在评审报告上签字确认。对评审结论持有异议的谈判小组成员可以书面方式阐述其不同意见和理由。谈判小组成员拒绝在评审报告上签字且不陈述其不同意见和理由的，视为同意评审结论。谈判小组应当对此作出书面说明并记录在案。</w:t>
      </w:r>
    </w:p>
    <w:p>
      <w:pPr>
        <w:pStyle w:val="68"/>
        <w:spacing w:line="360" w:lineRule="auto"/>
        <w:rPr>
          <w:rFonts w:hint="eastAsia" w:ascii="宋体" w:hAnsi="宋体"/>
          <w:b/>
          <w:sz w:val="24"/>
          <w:szCs w:val="24"/>
        </w:rPr>
      </w:pPr>
      <w:bookmarkStart w:id="64" w:name="_Toc394241257"/>
      <w:bookmarkStart w:id="65" w:name="_Toc402426883"/>
      <w:bookmarkStart w:id="66" w:name="_Toc402855790"/>
      <w:bookmarkStart w:id="67" w:name="_Toc416271966"/>
      <w:bookmarkStart w:id="68" w:name="_Toc412647649"/>
      <w:bookmarkStart w:id="69" w:name="_Toc416271437"/>
      <w:bookmarkStart w:id="70" w:name="_Toc465933789"/>
      <w:bookmarkStart w:id="71" w:name="_Toc422395180"/>
      <w:bookmarkStart w:id="72" w:name="_Toc29145251"/>
      <w:bookmarkStart w:id="73" w:name="_Toc144974563"/>
      <w:bookmarkStart w:id="74" w:name="_Toc246996239"/>
      <w:bookmarkStart w:id="75" w:name="_Toc296602484"/>
      <w:bookmarkStart w:id="76" w:name="_Toc152045596"/>
      <w:bookmarkStart w:id="77" w:name="_Toc152042373"/>
      <w:bookmarkStart w:id="78" w:name="_Toc179632614"/>
      <w:bookmarkStart w:id="79" w:name="_Toc247085754"/>
      <w:bookmarkStart w:id="80" w:name="_Toc246996982"/>
      <w:r>
        <w:rPr>
          <w:rFonts w:hint="eastAsia" w:ascii="宋体" w:hAnsi="宋体"/>
          <w:b/>
          <w:sz w:val="24"/>
          <w:szCs w:val="24"/>
        </w:rPr>
        <w:t xml:space="preserve">    4. 评审程序</w:t>
      </w:r>
      <w:bookmarkEnd w:id="64"/>
      <w:bookmarkEnd w:id="65"/>
      <w:bookmarkEnd w:id="66"/>
      <w:bookmarkEnd w:id="67"/>
      <w:bookmarkEnd w:id="68"/>
      <w:bookmarkEnd w:id="69"/>
      <w:bookmarkEnd w:id="70"/>
      <w:bookmarkEnd w:id="71"/>
      <w:bookmarkEnd w:id="72"/>
    </w:p>
    <w:p>
      <w:pPr>
        <w:spacing w:line="360" w:lineRule="auto"/>
        <w:ind w:firstLine="480" w:firstLineChars="200"/>
        <w:rPr>
          <w:rFonts w:hint="eastAsia" w:ascii="宋体" w:hAnsi="宋体"/>
          <w:sz w:val="24"/>
        </w:rPr>
      </w:pPr>
      <w:r>
        <w:rPr>
          <w:rFonts w:hint="eastAsia" w:ascii="宋体" w:hAnsi="宋体"/>
          <w:sz w:val="24"/>
          <w:szCs w:val="24"/>
        </w:rPr>
        <w:t>评审准备、初步评审（符合性评审和资格评审）、详细评审</w:t>
      </w:r>
      <w:r>
        <w:rPr>
          <w:rFonts w:hint="eastAsia" w:ascii="宋体" w:hAnsi="宋体"/>
          <w:sz w:val="24"/>
          <w:szCs w:val="24"/>
          <w:lang w:eastAsia="zh-CN"/>
        </w:rPr>
        <w:t>（商务评审）</w:t>
      </w:r>
      <w:r>
        <w:rPr>
          <w:rFonts w:hint="eastAsia" w:ascii="宋体" w:hAnsi="宋体"/>
          <w:sz w:val="24"/>
          <w:szCs w:val="24"/>
        </w:rPr>
        <w:t>。</w:t>
      </w:r>
    </w:p>
    <w:p>
      <w:pPr>
        <w:spacing w:line="360" w:lineRule="auto"/>
        <w:rPr>
          <w:rFonts w:hint="eastAsia" w:ascii="宋体" w:hAnsi="宋体"/>
          <w:b/>
          <w:sz w:val="24"/>
        </w:rPr>
      </w:pPr>
      <w:r>
        <w:rPr>
          <w:rFonts w:hint="eastAsia" w:ascii="宋体" w:hAnsi="宋体"/>
          <w:b/>
          <w:sz w:val="24"/>
        </w:rPr>
        <w:t xml:space="preserve">    4.1评审准备</w:t>
      </w:r>
    </w:p>
    <w:p>
      <w:pPr>
        <w:spacing w:line="360" w:lineRule="auto"/>
        <w:ind w:firstLine="470" w:firstLineChars="196"/>
        <w:rPr>
          <w:rFonts w:hint="eastAsia" w:ascii="宋体" w:hAnsi="宋体"/>
          <w:sz w:val="24"/>
        </w:rPr>
      </w:pPr>
      <w:r>
        <w:rPr>
          <w:rFonts w:hint="eastAsia" w:ascii="宋体" w:hAnsi="宋体"/>
          <w:sz w:val="24"/>
        </w:rPr>
        <w:t>谈判小组熟悉评审工作情况：</w:t>
      </w:r>
    </w:p>
    <w:p>
      <w:pPr>
        <w:spacing w:line="360" w:lineRule="auto"/>
        <w:ind w:firstLine="470" w:firstLineChars="196"/>
        <w:rPr>
          <w:rFonts w:hint="eastAsia" w:ascii="宋体" w:hAnsi="宋体"/>
          <w:sz w:val="24"/>
        </w:rPr>
      </w:pPr>
      <w:r>
        <w:rPr>
          <w:rFonts w:hint="eastAsia" w:ascii="宋体" w:hAnsi="宋体"/>
          <w:sz w:val="24"/>
        </w:rPr>
        <w:t>(1)听取采购人或者其委托的采购代理机构对采购项目情况的介绍。</w:t>
      </w:r>
    </w:p>
    <w:p>
      <w:pPr>
        <w:spacing w:line="360" w:lineRule="auto"/>
        <w:ind w:firstLine="470" w:firstLineChars="196"/>
        <w:rPr>
          <w:rFonts w:hint="eastAsia" w:ascii="宋体" w:hAnsi="宋体"/>
          <w:sz w:val="24"/>
        </w:rPr>
      </w:pPr>
      <w:r>
        <w:rPr>
          <w:rFonts w:hint="eastAsia" w:ascii="宋体" w:hAnsi="宋体"/>
          <w:sz w:val="24"/>
        </w:rPr>
        <w:t>(2)阅读、研究竞争性谈判文件和相关评审资料，获取评审所需要的重要信息和数据,至少应了解和熟悉以下内容：采购的目标、采购项目的范围和性质、竞争性谈判文件规定的主要技术要求、标准和商务条款。</w:t>
      </w:r>
    </w:p>
    <w:p>
      <w:pPr>
        <w:spacing w:line="360" w:lineRule="auto"/>
        <w:ind w:firstLine="470" w:firstLineChars="196"/>
        <w:rPr>
          <w:rFonts w:hint="eastAsia" w:ascii="宋体" w:hAnsi="宋体"/>
          <w:sz w:val="24"/>
        </w:rPr>
      </w:pPr>
      <w:r>
        <w:rPr>
          <w:rFonts w:hint="eastAsia" w:ascii="宋体" w:hAnsi="宋体"/>
          <w:sz w:val="24"/>
        </w:rPr>
        <w:t>(3)熟悉竞争性谈判文件规定的评审标准和评审方法及在评审过程中需要考虑的相关因素。</w:t>
      </w:r>
    </w:p>
    <w:p>
      <w:pPr>
        <w:spacing w:line="360" w:lineRule="auto"/>
        <w:ind w:firstLine="470" w:firstLineChars="196"/>
        <w:rPr>
          <w:rFonts w:hint="eastAsia" w:ascii="宋体" w:hAnsi="宋体"/>
          <w:b/>
          <w:sz w:val="24"/>
        </w:rPr>
      </w:pPr>
      <w:r>
        <w:rPr>
          <w:rFonts w:hint="eastAsia" w:ascii="宋体" w:hAnsi="宋体"/>
          <w:sz w:val="24"/>
        </w:rPr>
        <w:t>(4)核对评审工作用表。</w:t>
      </w:r>
    </w:p>
    <w:p>
      <w:pPr>
        <w:spacing w:line="360" w:lineRule="auto"/>
        <w:rPr>
          <w:rFonts w:hint="eastAsia" w:ascii="宋体" w:hAnsi="宋体"/>
          <w:sz w:val="24"/>
        </w:rPr>
      </w:pPr>
      <w:r>
        <w:rPr>
          <w:rFonts w:hint="eastAsia" w:ascii="宋体" w:hAnsi="宋体"/>
          <w:b/>
          <w:sz w:val="24"/>
        </w:rPr>
        <w:t xml:space="preserve">    4.2初步评审</w:t>
      </w:r>
    </w:p>
    <w:p>
      <w:pPr>
        <w:spacing w:line="360" w:lineRule="auto"/>
        <w:ind w:firstLine="480" w:firstLineChars="200"/>
        <w:rPr>
          <w:rFonts w:hint="eastAsia" w:ascii="宋体" w:hAnsi="宋体"/>
          <w:bCs/>
          <w:sz w:val="24"/>
        </w:rPr>
      </w:pPr>
      <w:r>
        <w:rPr>
          <w:rFonts w:hint="eastAsia" w:ascii="宋体" w:hAnsi="宋体"/>
          <w:sz w:val="24"/>
        </w:rPr>
        <w:t>符合性评审和资格评审。</w:t>
      </w:r>
      <w:r>
        <w:rPr>
          <w:rFonts w:hint="eastAsia" w:ascii="宋体" w:hAnsi="宋体"/>
          <w:bCs/>
          <w:sz w:val="24"/>
        </w:rPr>
        <w:t>谈判小组依据上述标准对响应文件进行初步评审。有一项不符合评审标准的，视为未通过，不得进入详细评审，响应文件作无效标处理。</w:t>
      </w:r>
    </w:p>
    <w:p>
      <w:pPr>
        <w:spacing w:line="360" w:lineRule="auto"/>
        <w:rPr>
          <w:rFonts w:hint="eastAsia" w:ascii="宋体" w:hAnsi="宋体"/>
          <w:b/>
          <w:sz w:val="24"/>
        </w:rPr>
      </w:pPr>
      <w:r>
        <w:rPr>
          <w:rFonts w:hint="eastAsia" w:ascii="宋体" w:hAnsi="宋体"/>
          <w:b/>
          <w:sz w:val="24"/>
        </w:rPr>
        <w:t xml:space="preserve">    4.3 详细评审</w:t>
      </w:r>
    </w:p>
    <w:p>
      <w:pPr>
        <w:spacing w:line="360" w:lineRule="auto"/>
        <w:ind w:firstLine="480" w:firstLineChars="200"/>
        <w:rPr>
          <w:rFonts w:hint="eastAsia" w:ascii="宋体" w:hAnsi="宋体"/>
          <w:sz w:val="24"/>
        </w:rPr>
      </w:pPr>
      <w:r>
        <w:rPr>
          <w:rFonts w:hint="eastAsia" w:ascii="宋体" w:hAnsi="宋体"/>
          <w:sz w:val="24"/>
        </w:rPr>
        <w:t>只有通过初步评审才能够进入本阶段评审。</w:t>
      </w:r>
    </w:p>
    <w:p>
      <w:pPr>
        <w:spacing w:line="360" w:lineRule="auto"/>
        <w:ind w:firstLine="480" w:firstLineChars="200"/>
        <w:rPr>
          <w:rFonts w:hint="eastAsia" w:ascii="宋体" w:hAnsi="宋体"/>
          <w:sz w:val="24"/>
        </w:rPr>
      </w:pPr>
      <w:r>
        <w:rPr>
          <w:rFonts w:hint="eastAsia" w:ascii="宋体" w:hAnsi="宋体"/>
          <w:sz w:val="24"/>
        </w:rPr>
        <w:t>4.3.1商务评审：</w:t>
      </w:r>
    </w:p>
    <w:p>
      <w:pPr>
        <w:spacing w:line="360" w:lineRule="auto"/>
        <w:ind w:firstLine="480" w:firstLineChars="200"/>
        <w:rPr>
          <w:rFonts w:hint="eastAsia" w:ascii="宋体" w:hAnsi="宋体"/>
          <w:sz w:val="24"/>
        </w:rPr>
      </w:pPr>
      <w:r>
        <w:rPr>
          <w:rFonts w:hint="eastAsia" w:ascii="宋体" w:hAnsi="宋体"/>
          <w:sz w:val="24"/>
        </w:rPr>
        <w:t>（1）谈判小组发现供应商的竞谈报价明显低于其他竞谈报价，使得其响应报价可能低于其成本的，应当要求该供应商作出书面说明并提供相应的证明材料。供应商不能合理说明或者不能提供相应证明材料的，由谈判小组认定该供应商以低于成本报价竞标，其投标作无效标处理。</w:t>
      </w:r>
    </w:p>
    <w:p>
      <w:pPr>
        <w:spacing w:line="360" w:lineRule="auto"/>
        <w:ind w:firstLine="480" w:firstLineChars="200"/>
        <w:rPr>
          <w:rFonts w:hint="eastAsia" w:ascii="宋体" w:hAnsi="宋体"/>
          <w:sz w:val="24"/>
        </w:rPr>
      </w:pPr>
      <w:r>
        <w:rPr>
          <w:rFonts w:hint="eastAsia" w:ascii="宋体" w:hAnsi="宋体"/>
          <w:sz w:val="24"/>
        </w:rPr>
        <w:t>（2）谈判小组审查响应文件，包括 响应报价的校核、审查全部数据计算的正确性、分析各种费用构成的合理性和正确性等内容，看其是否有计算或表达上的错误：当响应文件中的大写金额与小写金额不一致的，以大写金额为准。调整或修正的价格经供应商书面确认后具有约束力。</w:t>
      </w:r>
    </w:p>
    <w:p>
      <w:pPr>
        <w:spacing w:line="360" w:lineRule="auto"/>
        <w:ind w:firstLine="480" w:firstLineChars="200"/>
        <w:rPr>
          <w:rFonts w:hint="eastAsia" w:ascii="宋体" w:hAnsi="宋体"/>
          <w:sz w:val="24"/>
        </w:rPr>
      </w:pPr>
      <w:r>
        <w:rPr>
          <w:rFonts w:hint="eastAsia" w:ascii="宋体" w:hAnsi="宋体"/>
          <w:sz w:val="24"/>
        </w:rPr>
        <w:t>（3）响应报价</w:t>
      </w:r>
    </w:p>
    <w:p>
      <w:pPr>
        <w:spacing w:line="360" w:lineRule="auto"/>
        <w:ind w:firstLine="480" w:firstLineChars="200"/>
        <w:rPr>
          <w:rFonts w:hint="eastAsia" w:ascii="宋体" w:hAnsi="宋体"/>
          <w:sz w:val="24"/>
        </w:rPr>
      </w:pPr>
      <w:r>
        <w:rPr>
          <w:rFonts w:hint="eastAsia" w:ascii="宋体" w:hAnsi="宋体"/>
          <w:sz w:val="24"/>
        </w:rPr>
        <w:t>⑴本项目实行经评审有效最低价法。即以书面的最终响应报价进行评审，按最终响应报价由低到高的次序推荐1～3名成交候选人。</w:t>
      </w:r>
    </w:p>
    <w:p>
      <w:pPr>
        <w:spacing w:line="400" w:lineRule="exact"/>
        <w:ind w:firstLine="480" w:firstLineChars="200"/>
        <w:rPr>
          <w:rFonts w:hint="eastAsia" w:ascii="宋体" w:hAnsi="宋体"/>
          <w:sz w:val="24"/>
        </w:rPr>
      </w:pPr>
      <w:r>
        <w:rPr>
          <w:rFonts w:hint="eastAsia" w:ascii="宋体" w:hAnsi="宋体"/>
          <w:sz w:val="24"/>
        </w:rPr>
        <w:t>本次谈判程序为N轮谈判、N+1报价；报价单位的第N+1轮各项报价应低于自已的第N轮各项报价。（具体多少轮由谈判小组定）。</w:t>
      </w:r>
    </w:p>
    <w:p>
      <w:pPr>
        <w:spacing w:line="360" w:lineRule="auto"/>
        <w:ind w:firstLine="482" w:firstLineChars="200"/>
        <w:rPr>
          <w:rFonts w:hint="eastAsia" w:ascii="宋体" w:hAnsi="宋体"/>
          <w:sz w:val="24"/>
        </w:rPr>
      </w:pPr>
      <w:r>
        <w:rPr>
          <w:rFonts w:hint="eastAsia" w:ascii="宋体" w:hAnsi="宋体"/>
          <w:b/>
          <w:sz w:val="24"/>
        </w:rPr>
        <w:t>4.4 推荐成交候选人</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4.4.1经初步评审、详细评审后，按最终响应报价由低到高的次序推荐1～3名成交候选人。</w:t>
      </w:r>
    </w:p>
    <w:p>
      <w:pPr>
        <w:spacing w:line="360" w:lineRule="auto"/>
        <w:ind w:firstLine="480" w:firstLineChars="200"/>
        <w:rPr>
          <w:rFonts w:hint="eastAsia" w:ascii="宋体" w:hAnsi="宋体"/>
          <w:sz w:val="24"/>
        </w:rPr>
      </w:pPr>
      <w:r>
        <w:rPr>
          <w:rFonts w:hint="eastAsia" w:ascii="宋体" w:hAnsi="宋体"/>
          <w:sz w:val="24"/>
        </w:rPr>
        <w:t>4.4.2若最终响应报价中最低价出现</w:t>
      </w:r>
      <w:r>
        <w:rPr>
          <w:rFonts w:hint="eastAsia"/>
          <w:sz w:val="24"/>
        </w:rPr>
        <w:t>相同</w:t>
      </w:r>
      <w:r>
        <w:rPr>
          <w:rFonts w:hint="eastAsia" w:ascii="宋体" w:hAnsi="宋体"/>
          <w:sz w:val="24"/>
        </w:rPr>
        <w:t>的情况时，则相同响应报价的供应商重新报价（每轮报价均须低于其上一轮报价，否则为无效报价）直至决出次序为止。</w:t>
      </w:r>
    </w:p>
    <w:p>
      <w:pPr>
        <w:spacing w:line="360" w:lineRule="auto"/>
        <w:ind w:firstLine="480" w:firstLineChars="200"/>
        <w:rPr>
          <w:rFonts w:hint="eastAsia" w:ascii="宋体" w:hAnsi="宋体"/>
          <w:bCs/>
          <w:sz w:val="24"/>
          <w:szCs w:val="24"/>
        </w:rPr>
      </w:pPr>
      <w:r>
        <w:rPr>
          <w:rFonts w:hint="eastAsia" w:ascii="宋体" w:hAnsi="宋体"/>
          <w:bCs/>
          <w:sz w:val="24"/>
        </w:rPr>
        <w:t>4</w:t>
      </w:r>
      <w:r>
        <w:rPr>
          <w:rFonts w:hint="eastAsia" w:ascii="宋体" w:hAnsi="宋体"/>
          <w:bCs/>
          <w:sz w:val="24"/>
          <w:szCs w:val="24"/>
        </w:rPr>
        <w:t>.4.3成交候选人接受社会监督，一经发现涉嫌伪造现象，将取消其成交资格，谈判保证金将予以没收。为便于对弄虚作假行为查实，更好的对成交人进行监督管理。</w:t>
      </w:r>
    </w:p>
    <w:p>
      <w:pPr>
        <w:spacing w:line="440" w:lineRule="exact"/>
        <w:ind w:firstLine="482" w:firstLineChars="200"/>
        <w:outlineLvl w:val="3"/>
        <w:rPr>
          <w:rFonts w:hint="eastAsia" w:ascii="宋体" w:hAnsi="宋体" w:cs="宋体"/>
          <w:b/>
          <w:sz w:val="24"/>
          <w:szCs w:val="24"/>
        </w:rPr>
      </w:pPr>
      <w:r>
        <w:rPr>
          <w:rFonts w:hint="eastAsia" w:ascii="宋体" w:hAnsi="宋体" w:cs="宋体"/>
          <w:b/>
          <w:sz w:val="24"/>
          <w:szCs w:val="24"/>
        </w:rPr>
        <w:t>5.3 响应文件的澄清</w:t>
      </w:r>
      <w:bookmarkEnd w:id="73"/>
      <w:r>
        <w:rPr>
          <w:rFonts w:hint="eastAsia" w:ascii="宋体" w:hAnsi="宋体" w:cs="宋体"/>
          <w:b/>
          <w:sz w:val="24"/>
          <w:szCs w:val="24"/>
        </w:rPr>
        <w:t>和补正</w:t>
      </w:r>
      <w:bookmarkEnd w:id="74"/>
      <w:bookmarkEnd w:id="75"/>
      <w:bookmarkEnd w:id="76"/>
      <w:bookmarkEnd w:id="77"/>
      <w:bookmarkEnd w:id="78"/>
      <w:bookmarkEnd w:id="79"/>
      <w:bookmarkEnd w:id="80"/>
    </w:p>
    <w:p>
      <w:pPr>
        <w:spacing w:line="440" w:lineRule="exact"/>
        <w:ind w:firstLine="480" w:firstLineChars="200"/>
        <w:outlineLvl w:val="4"/>
        <w:rPr>
          <w:rFonts w:hint="eastAsia" w:ascii="宋体" w:hAnsi="宋体" w:cs="宋体"/>
          <w:bCs/>
          <w:sz w:val="24"/>
          <w:szCs w:val="24"/>
        </w:rPr>
      </w:pPr>
      <w:r>
        <w:rPr>
          <w:rFonts w:hint="eastAsia" w:ascii="宋体" w:hAnsi="宋体" w:cs="宋体"/>
          <w:bCs/>
          <w:sz w:val="24"/>
          <w:szCs w:val="24"/>
        </w:rPr>
        <w:t>5.3.1在评审过程中，谈判小组应以书面形式要求供应商对所提交的响应文件中不明确的内容进行书面澄清或说明，或者对细微偏差进行补正。谈判小组不接受供应商主动提出的澄清、说明或补正。</w:t>
      </w:r>
    </w:p>
    <w:p>
      <w:pPr>
        <w:spacing w:line="440" w:lineRule="exact"/>
        <w:ind w:firstLine="480" w:firstLineChars="200"/>
        <w:outlineLvl w:val="4"/>
        <w:rPr>
          <w:rFonts w:hint="eastAsia" w:ascii="宋体" w:hAnsi="宋体" w:cs="宋体"/>
          <w:bCs/>
          <w:sz w:val="24"/>
          <w:szCs w:val="24"/>
        </w:rPr>
      </w:pPr>
      <w:r>
        <w:rPr>
          <w:rFonts w:hint="eastAsia" w:ascii="宋体" w:hAnsi="宋体" w:cs="宋体"/>
          <w:bCs/>
          <w:sz w:val="24"/>
          <w:szCs w:val="24"/>
        </w:rPr>
        <w:t>5.3.2 澄清、说明和补正不得改变响应文件的实质性内容。供应商的书面澄清、说明和补正属于响应文件的组成部分。</w:t>
      </w:r>
    </w:p>
    <w:p>
      <w:pPr>
        <w:spacing w:line="440" w:lineRule="exact"/>
        <w:ind w:firstLine="480" w:firstLineChars="200"/>
        <w:outlineLvl w:val="4"/>
        <w:rPr>
          <w:rFonts w:hint="eastAsia" w:ascii="宋体" w:hAnsi="宋体" w:cs="宋体"/>
          <w:bCs/>
          <w:sz w:val="24"/>
          <w:szCs w:val="24"/>
        </w:rPr>
      </w:pPr>
      <w:r>
        <w:rPr>
          <w:rFonts w:hint="eastAsia" w:ascii="宋体" w:hAnsi="宋体" w:cs="宋体"/>
          <w:bCs/>
          <w:sz w:val="24"/>
          <w:szCs w:val="24"/>
        </w:rPr>
        <w:t>5.3.3 谈判小组对供应商提交的澄清、说明或补正有疑问的，可以要求供应商进一步澄清、说明或补正，直至满足谈判小组的要求。</w:t>
      </w:r>
    </w:p>
    <w:p>
      <w:pPr>
        <w:spacing w:line="440" w:lineRule="exact"/>
        <w:ind w:firstLine="482" w:firstLineChars="200"/>
        <w:outlineLvl w:val="3"/>
        <w:rPr>
          <w:rFonts w:hint="eastAsia" w:ascii="宋体" w:hAnsi="宋体" w:cs="宋体"/>
          <w:b/>
          <w:sz w:val="24"/>
          <w:szCs w:val="24"/>
        </w:rPr>
      </w:pPr>
      <w:bookmarkStart w:id="81" w:name="_Toc247085755"/>
      <w:bookmarkStart w:id="82" w:name="_Toc296602485"/>
      <w:bookmarkStart w:id="83" w:name="_Toc179632615"/>
      <w:bookmarkStart w:id="84" w:name="_Toc246996983"/>
      <w:bookmarkStart w:id="85" w:name="_Toc246996240"/>
      <w:bookmarkStart w:id="86" w:name="_Toc152045597"/>
      <w:bookmarkStart w:id="87" w:name="_Toc144974564"/>
      <w:bookmarkStart w:id="88" w:name="_Toc152042374"/>
      <w:r>
        <w:rPr>
          <w:rFonts w:hint="eastAsia" w:ascii="宋体" w:hAnsi="宋体" w:cs="宋体"/>
          <w:b/>
          <w:sz w:val="24"/>
          <w:szCs w:val="24"/>
        </w:rPr>
        <w:t>5.4 评审结果</w:t>
      </w:r>
      <w:bookmarkEnd w:id="81"/>
      <w:bookmarkEnd w:id="82"/>
      <w:bookmarkEnd w:id="83"/>
      <w:bookmarkEnd w:id="84"/>
      <w:bookmarkEnd w:id="85"/>
      <w:bookmarkEnd w:id="86"/>
      <w:bookmarkEnd w:id="87"/>
      <w:bookmarkEnd w:id="88"/>
    </w:p>
    <w:p>
      <w:pPr>
        <w:spacing w:line="440" w:lineRule="exact"/>
        <w:ind w:firstLine="480" w:firstLineChars="200"/>
        <w:outlineLvl w:val="4"/>
        <w:rPr>
          <w:rFonts w:hint="eastAsia" w:ascii="宋体" w:hAnsi="宋体" w:cs="宋体"/>
          <w:bCs/>
          <w:sz w:val="24"/>
          <w:szCs w:val="24"/>
        </w:rPr>
      </w:pPr>
      <w:r>
        <w:rPr>
          <w:rFonts w:hint="eastAsia" w:ascii="宋体" w:hAnsi="宋体" w:cs="宋体"/>
          <w:bCs/>
          <w:sz w:val="24"/>
          <w:szCs w:val="24"/>
        </w:rPr>
        <w:t>5.4.1除第二章“供应商须知”前附表授权直接确定成交人外，谈判小组按照评审结果推荐 1-3名成交候选人，并标明排列顺序。</w:t>
      </w:r>
    </w:p>
    <w:p>
      <w:pPr>
        <w:spacing w:line="440" w:lineRule="exact"/>
        <w:ind w:firstLine="480" w:firstLineChars="200"/>
        <w:outlineLvl w:val="4"/>
        <w:rPr>
          <w:rFonts w:hint="eastAsia" w:ascii="宋体" w:hAnsi="宋体" w:cs="宋体"/>
          <w:bCs/>
          <w:sz w:val="24"/>
          <w:szCs w:val="24"/>
        </w:rPr>
      </w:pPr>
      <w:r>
        <w:rPr>
          <w:rFonts w:hint="eastAsia" w:ascii="宋体" w:hAnsi="宋体" w:cs="宋体"/>
          <w:bCs/>
          <w:sz w:val="24"/>
          <w:szCs w:val="24"/>
        </w:rPr>
        <w:t>5.4.2 谈判小组完成评审后，应当向采购人提交书面评审报告。</w:t>
      </w:r>
    </w:p>
    <w:p>
      <w:pPr>
        <w:shd w:val="clear" w:color="auto" w:fill="FFFFFF"/>
        <w:snapToGrid w:val="0"/>
        <w:spacing w:line="440" w:lineRule="exact"/>
        <w:ind w:firstLine="480" w:firstLineChars="200"/>
        <w:outlineLvl w:val="3"/>
        <w:rPr>
          <w:rFonts w:hint="eastAsia" w:ascii="宋体" w:hAnsi="宋体" w:cs="宋体"/>
          <w:bCs/>
          <w:sz w:val="24"/>
          <w:szCs w:val="24"/>
        </w:rPr>
      </w:pPr>
      <w:r>
        <w:rPr>
          <w:rFonts w:hint="eastAsia" w:ascii="宋体" w:hAnsi="宋体" w:cs="宋体"/>
          <w:bCs/>
          <w:sz w:val="24"/>
          <w:szCs w:val="24"/>
        </w:rPr>
        <w:t>5.4.3依法必须进行采购的项目，采购人应当确定排名第一的成交候选人为成交人。排名第一的成交候选人放弃中标、因不可抗力提出不能履行合同，采购人可以确定排名第二的成交候选人为成交人,依次类推;或重新采购。</w:t>
      </w:r>
    </w:p>
    <w:p>
      <w:pPr>
        <w:snapToGrid w:val="0"/>
        <w:spacing w:line="440" w:lineRule="exact"/>
        <w:ind w:firstLine="482" w:firstLineChars="200"/>
        <w:outlineLvl w:val="1"/>
        <w:rPr>
          <w:rFonts w:hint="eastAsia" w:ascii="宋体" w:hAnsi="宋体" w:cs="宋体"/>
          <w:b/>
          <w:sz w:val="24"/>
          <w:szCs w:val="24"/>
        </w:rPr>
      </w:pPr>
      <w:bookmarkStart w:id="89" w:name="_Toc465933790"/>
      <w:bookmarkStart w:id="90" w:name="_Toc335122775"/>
      <w:bookmarkStart w:id="91" w:name="_Toc30211"/>
      <w:bookmarkStart w:id="92" w:name="_Toc338395650"/>
      <w:bookmarkStart w:id="93" w:name="_Toc24572"/>
      <w:bookmarkStart w:id="94" w:name="_Toc29145254"/>
      <w:r>
        <w:rPr>
          <w:rFonts w:hint="eastAsia" w:ascii="宋体" w:hAnsi="宋体" w:cs="宋体"/>
          <w:b/>
          <w:sz w:val="24"/>
          <w:szCs w:val="24"/>
        </w:rPr>
        <w:t>6. 适用范围</w:t>
      </w:r>
      <w:bookmarkEnd w:id="89"/>
      <w:bookmarkEnd w:id="90"/>
      <w:bookmarkEnd w:id="91"/>
      <w:bookmarkEnd w:id="92"/>
      <w:bookmarkEnd w:id="93"/>
      <w:bookmarkEnd w:id="94"/>
    </w:p>
    <w:p>
      <w:pPr>
        <w:ind w:firstLine="480"/>
        <w:rPr>
          <w:rFonts w:hint="eastAsia"/>
          <w:sz w:val="24"/>
          <w:szCs w:val="24"/>
        </w:rPr>
      </w:pPr>
      <w:r>
        <w:rPr>
          <w:rFonts w:hint="eastAsia"/>
          <w:sz w:val="24"/>
          <w:szCs w:val="24"/>
        </w:rPr>
        <w:t>适用于本项目。</w:t>
      </w:r>
      <w:bookmarkStart w:id="95" w:name="_Toc152042387"/>
      <w:bookmarkStart w:id="96" w:name="_Toc179632627"/>
      <w:bookmarkStart w:id="97" w:name="_Toc246996995"/>
      <w:bookmarkStart w:id="98" w:name="_Toc247085767"/>
      <w:bookmarkStart w:id="99" w:name="_Toc144974577"/>
      <w:bookmarkStart w:id="100" w:name="_Toc296602497"/>
      <w:bookmarkStart w:id="101" w:name="_Toc152045609"/>
      <w:bookmarkStart w:id="102" w:name="_Toc246996252"/>
      <w:bookmarkStart w:id="103" w:name="_Toc2789"/>
      <w:bookmarkStart w:id="104" w:name="_Toc368985790"/>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480"/>
        <w:rPr>
          <w:rFonts w:hint="eastAsia"/>
          <w:sz w:val="24"/>
          <w:szCs w:val="24"/>
        </w:rPr>
      </w:pPr>
    </w:p>
    <w:p>
      <w:pPr>
        <w:ind w:firstLine="2530" w:firstLineChars="900"/>
        <w:rPr>
          <w:rFonts w:hint="eastAsia" w:cs="宋体"/>
          <w:b/>
          <w:bCs/>
          <w:color w:val="000000"/>
          <w:sz w:val="28"/>
          <w:szCs w:val="28"/>
        </w:rPr>
      </w:pPr>
    </w:p>
    <w:p>
      <w:pPr>
        <w:rPr>
          <w:rFonts w:hint="eastAsia" w:cs="宋体"/>
          <w:b/>
          <w:bCs/>
          <w:color w:val="000000"/>
          <w:sz w:val="28"/>
          <w:szCs w:val="28"/>
        </w:rPr>
      </w:pPr>
    </w:p>
    <w:p>
      <w:pPr>
        <w:ind w:firstLine="2530" w:firstLineChars="900"/>
        <w:rPr>
          <w:b/>
          <w:bCs/>
          <w:color w:val="000000"/>
          <w:sz w:val="28"/>
          <w:szCs w:val="28"/>
        </w:rPr>
      </w:pPr>
      <w:r>
        <w:rPr>
          <w:rFonts w:hint="eastAsia" w:cs="宋体"/>
          <w:b/>
          <w:bCs/>
          <w:color w:val="000000"/>
          <w:sz w:val="28"/>
          <w:szCs w:val="28"/>
        </w:rPr>
        <w:t>第四章</w:t>
      </w:r>
      <w:r>
        <w:rPr>
          <w:b/>
          <w:bCs/>
          <w:color w:val="000000"/>
          <w:sz w:val="28"/>
          <w:szCs w:val="28"/>
        </w:rPr>
        <w:t xml:space="preserve"> </w:t>
      </w:r>
      <w:r>
        <w:rPr>
          <w:rFonts w:hint="eastAsia" w:cs="宋体"/>
          <w:b/>
          <w:bCs/>
          <w:color w:val="000000"/>
          <w:sz w:val="28"/>
          <w:szCs w:val="28"/>
        </w:rPr>
        <w:t>合同条款及格</w:t>
      </w:r>
      <w:bookmarkEnd w:id="95"/>
      <w:bookmarkEnd w:id="96"/>
      <w:bookmarkEnd w:id="97"/>
      <w:bookmarkEnd w:id="98"/>
      <w:bookmarkEnd w:id="99"/>
      <w:bookmarkEnd w:id="100"/>
      <w:bookmarkEnd w:id="101"/>
      <w:bookmarkEnd w:id="102"/>
      <w:r>
        <w:rPr>
          <w:rFonts w:hint="eastAsia" w:cs="宋体"/>
          <w:b/>
          <w:bCs/>
          <w:color w:val="000000"/>
          <w:sz w:val="28"/>
          <w:szCs w:val="28"/>
        </w:rPr>
        <w:t>式</w:t>
      </w:r>
      <w:bookmarkEnd w:id="103"/>
      <w:bookmarkEnd w:id="104"/>
      <w:r>
        <w:rPr>
          <w:rFonts w:cs="宋体"/>
          <w:b/>
          <w:bCs/>
          <w:color w:val="000000"/>
          <w:sz w:val="28"/>
          <w:szCs w:val="28"/>
        </w:rPr>
        <w:t xml:space="preserve"> </w:t>
      </w:r>
    </w:p>
    <w:bookmarkEnd w:id="60"/>
    <w:bookmarkEnd w:id="61"/>
    <w:bookmarkEnd w:id="62"/>
    <w:bookmarkEnd w:id="63"/>
    <w:p>
      <w:pPr>
        <w:jc w:val="center"/>
        <w:rPr>
          <w:rFonts w:ascii="宋体" w:hAnsi="宋体" w:cs="宋体"/>
          <w:sz w:val="24"/>
          <w:szCs w:val="24"/>
        </w:rPr>
      </w:pPr>
      <w:bookmarkStart w:id="105" w:name="_Toc20421_WPSOffice_Level2"/>
      <w:bookmarkStart w:id="106" w:name="_Toc16936_WPSOffice_Level2"/>
      <w:r>
        <w:rPr>
          <w:rFonts w:hint="eastAsia" w:ascii="宋体" w:hAnsi="宋体" w:cs="宋体"/>
          <w:sz w:val="24"/>
          <w:szCs w:val="24"/>
        </w:rPr>
        <w:t>采购合同</w:t>
      </w:r>
      <w:bookmarkEnd w:id="105"/>
      <w:bookmarkEnd w:id="106"/>
      <w:r>
        <w:rPr>
          <w:rFonts w:hint="eastAsia" w:ascii="宋体" w:hAnsi="宋体" w:cs="宋体"/>
          <w:sz w:val="24"/>
          <w:szCs w:val="24"/>
        </w:rPr>
        <w:t>格式（参考）</w:t>
      </w:r>
    </w:p>
    <w:p>
      <w:pPr>
        <w:jc w:val="center"/>
        <w:rPr>
          <w:rFonts w:ascii="宋体" w:hAnsi="宋体" w:cs="宋体"/>
          <w:sz w:val="24"/>
        </w:rPr>
      </w:pPr>
    </w:p>
    <w:p>
      <w:pPr>
        <w:spacing w:line="400" w:lineRule="exact"/>
        <w:ind w:left="960" w:hanging="960" w:hangingChars="400"/>
        <w:jc w:val="left"/>
        <w:rPr>
          <w:rFonts w:ascii="宋体" w:hAnsi="宋体" w:cs="宋体"/>
          <w:sz w:val="24"/>
          <w:u w:val="single"/>
        </w:rPr>
      </w:pPr>
      <w:r>
        <w:rPr>
          <w:rFonts w:hint="eastAsia" w:ascii="宋体" w:hAnsi="宋体" w:cs="宋体"/>
          <w:sz w:val="24"/>
        </w:rPr>
        <w:t>采购人（甲方）：</w:t>
      </w:r>
      <w:r>
        <w:rPr>
          <w:rFonts w:hint="eastAsia" w:ascii="宋体" w:hAnsi="宋体" w:cs="宋体"/>
          <w:sz w:val="24"/>
          <w:u w:val="single"/>
        </w:rPr>
        <w:t xml:space="preserve">                                                           </w:t>
      </w:r>
    </w:p>
    <w:p>
      <w:pPr>
        <w:spacing w:line="400" w:lineRule="exact"/>
        <w:ind w:left="960" w:hanging="960" w:hangingChars="400"/>
        <w:jc w:val="left"/>
        <w:rPr>
          <w:rFonts w:ascii="宋体" w:hAnsi="宋体" w:cs="宋体"/>
          <w:sz w:val="24"/>
          <w:u w:val="single"/>
        </w:rPr>
      </w:pPr>
      <w:r>
        <w:rPr>
          <w:rFonts w:hint="eastAsia" w:ascii="宋体" w:hAnsi="宋体" w:cs="宋体"/>
          <w:sz w:val="24"/>
        </w:rPr>
        <w:t>供货人（乙方）：</w:t>
      </w:r>
      <w:r>
        <w:rPr>
          <w:rFonts w:hint="eastAsia" w:ascii="宋体" w:hAnsi="宋体" w:cs="宋体"/>
          <w:sz w:val="24"/>
          <w:u w:val="single"/>
        </w:rPr>
        <w:t xml:space="preserve">                                                            </w:t>
      </w:r>
    </w:p>
    <w:p>
      <w:pPr>
        <w:spacing w:line="400" w:lineRule="exact"/>
        <w:rPr>
          <w:rFonts w:ascii="宋体" w:hAnsi="宋体" w:cs="宋体"/>
          <w:sz w:val="24"/>
          <w:u w:val="single"/>
        </w:rPr>
      </w:pPr>
      <w:r>
        <w:rPr>
          <w:rFonts w:hint="eastAsia" w:ascii="宋体" w:hAnsi="宋体" w:cs="宋体"/>
          <w:sz w:val="24"/>
        </w:rPr>
        <w:t xml:space="preserve">签订地点： </w:t>
      </w:r>
      <w:r>
        <w:rPr>
          <w:rFonts w:hint="eastAsia" w:ascii="宋体" w:hAnsi="宋体" w:cs="宋体"/>
          <w:sz w:val="24"/>
          <w:u w:val="single"/>
        </w:rPr>
        <w:t xml:space="preserve">                                                                 </w:t>
      </w:r>
    </w:p>
    <w:p>
      <w:pPr>
        <w:spacing w:line="400" w:lineRule="exact"/>
        <w:rPr>
          <w:rFonts w:ascii="宋体" w:hAnsi="宋体" w:cs="宋体"/>
          <w:sz w:val="24"/>
          <w:szCs w:val="22"/>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szCs w:val="22"/>
          <w:u w:val="single"/>
        </w:rPr>
        <w:t xml:space="preserve">    </w:t>
      </w:r>
      <w:r>
        <w:rPr>
          <w:rFonts w:hint="eastAsia" w:ascii="宋体" w:hAnsi="宋体" w:cs="宋体"/>
          <w:sz w:val="24"/>
          <w:u w:val="single"/>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                 </w:t>
      </w:r>
    </w:p>
    <w:p>
      <w:pPr>
        <w:spacing w:line="400" w:lineRule="exact"/>
        <w:rPr>
          <w:rFonts w:ascii="宋体" w:hAnsi="宋体" w:cs="宋体"/>
          <w:sz w:val="24"/>
          <w:u w:val="single"/>
        </w:rPr>
      </w:pPr>
      <w:r>
        <w:rPr>
          <w:rFonts w:hint="eastAsia" w:ascii="宋体" w:hAnsi="宋体" w:cs="宋体"/>
          <w:sz w:val="24"/>
          <w:szCs w:val="22"/>
        </w:rPr>
        <w:t xml:space="preserve">项目编号： </w:t>
      </w:r>
      <w:r>
        <w:rPr>
          <w:rFonts w:hint="eastAsia" w:ascii="宋体" w:hAnsi="宋体" w:cs="宋体"/>
          <w:sz w:val="24"/>
          <w:szCs w:val="22"/>
          <w:u w:val="single"/>
        </w:rPr>
        <w:t xml:space="preserve">           </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本项目经批准采用</w:t>
      </w:r>
      <w:r>
        <w:rPr>
          <w:rFonts w:hint="eastAsia" w:ascii="宋体" w:hAnsi="宋体" w:cs="宋体"/>
          <w:sz w:val="24"/>
          <w:u w:val="single"/>
        </w:rPr>
        <w:t xml:space="preserve"> 竞争性谈判  </w:t>
      </w:r>
      <w:r>
        <w:rPr>
          <w:rFonts w:hint="eastAsia" w:ascii="宋体" w:hAnsi="宋体" w:cs="宋体"/>
          <w:sz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宋体" w:hAnsi="宋体" w:cs="宋体"/>
          <w:sz w:val="24"/>
        </w:rPr>
      </w:pPr>
      <w:bookmarkStart w:id="107" w:name="_Toc27989_WPSOffice_Level2"/>
      <w:bookmarkStart w:id="108" w:name="_Toc7822_WPSOffice_Level2"/>
      <w:r>
        <w:rPr>
          <w:rFonts w:hint="eastAsia" w:ascii="宋体" w:hAnsi="宋体" w:cs="宋体"/>
          <w:sz w:val="24"/>
        </w:rPr>
        <w:t>第一条 服务内容</w:t>
      </w:r>
      <w:bookmarkEnd w:id="107"/>
      <w:bookmarkEnd w:id="108"/>
    </w:p>
    <w:p>
      <w:pPr>
        <w:spacing w:line="360" w:lineRule="exact"/>
        <w:rPr>
          <w:rFonts w:ascii="宋体" w:hAnsi="宋体" w:cs="宋体"/>
          <w:sz w:val="24"/>
        </w:rPr>
      </w:pPr>
      <w:r>
        <w:rPr>
          <w:rFonts w:hint="eastAsia" w:ascii="宋体" w:hAnsi="宋体" w:cs="宋体"/>
          <w:sz w:val="24"/>
        </w:rPr>
        <w:t>服务内容：</w:t>
      </w:r>
    </w:p>
    <w:p>
      <w:pPr>
        <w:pStyle w:val="27"/>
        <w:ind w:left="0" w:leftChars="0" w:firstLine="0" w:firstLineChars="0"/>
        <w:rPr>
          <w:rFonts w:ascii="宋体" w:hAnsi="宋体" w:eastAsia="宋体" w:cs="宋体"/>
          <w:sz w:val="24"/>
        </w:rPr>
      </w:pPr>
    </w:p>
    <w:p>
      <w:pPr>
        <w:pStyle w:val="27"/>
        <w:rPr>
          <w:rFonts w:ascii="宋体" w:hAnsi="宋体" w:eastAsia="宋体" w:cs="宋体"/>
        </w:rPr>
      </w:pPr>
    </w:p>
    <w:p>
      <w:pPr>
        <w:spacing w:line="360" w:lineRule="exact"/>
        <w:rPr>
          <w:rFonts w:ascii="宋体" w:hAnsi="宋体" w:cs="宋体"/>
          <w:sz w:val="24"/>
        </w:rPr>
      </w:pPr>
      <w:bookmarkStart w:id="109" w:name="_Toc17274_WPSOffice_Level2"/>
      <w:bookmarkStart w:id="110" w:name="_Toc21984_WPSOffice_Level2"/>
      <w:r>
        <w:rPr>
          <w:rFonts w:hint="eastAsia" w:ascii="宋体" w:hAnsi="宋体" w:cs="宋体"/>
          <w:sz w:val="24"/>
        </w:rPr>
        <w:t>第二条服务质量要求）；按下列第</w:t>
      </w:r>
      <w:r>
        <w:rPr>
          <w:rFonts w:hint="eastAsia" w:ascii="宋体" w:hAnsi="宋体" w:cs="宋体"/>
          <w:sz w:val="24"/>
          <w:u w:val="single"/>
        </w:rPr>
        <w:t>（ ）</w:t>
      </w:r>
      <w:r>
        <w:rPr>
          <w:rFonts w:hint="eastAsia" w:ascii="宋体" w:hAnsi="宋体" w:cs="宋体"/>
          <w:sz w:val="24"/>
        </w:rPr>
        <w:t>项执行：</w:t>
      </w:r>
      <w:bookmarkEnd w:id="109"/>
      <w:bookmarkEnd w:id="110"/>
    </w:p>
    <w:p>
      <w:pPr>
        <w:spacing w:line="360" w:lineRule="exact"/>
        <w:ind w:firstLine="480" w:firstLineChars="200"/>
        <w:rPr>
          <w:rFonts w:ascii="宋体" w:hAnsi="宋体" w:cs="宋体"/>
          <w:sz w:val="24"/>
        </w:rPr>
      </w:pPr>
      <w:r>
        <w:rPr>
          <w:rFonts w:hint="eastAsia" w:ascii="宋体" w:hAnsi="宋体" w:cs="宋体"/>
          <w:sz w:val="24"/>
        </w:rPr>
        <w:t>（1）按国家标准执行；（2）按部颁标准执行；（3）若无以上标准，则应不低于同行业质量标准；（4）有特殊要求的，按甲乙双方在合同中商定的技术条件、样品或补充的技术要求执行；</w:t>
      </w:r>
    </w:p>
    <w:p>
      <w:pPr>
        <w:spacing w:line="360" w:lineRule="exact"/>
        <w:rPr>
          <w:rFonts w:ascii="宋体" w:hAnsi="宋体" w:cs="宋体"/>
          <w:sz w:val="24"/>
        </w:rPr>
      </w:pPr>
      <w:r>
        <w:rPr>
          <w:rFonts w:hint="eastAsia" w:ascii="宋体" w:hAnsi="宋体" w:cs="宋体"/>
          <w:sz w:val="24"/>
        </w:rPr>
        <w:t>乙方提供的服务标准应与竞争性谈判文件规定的技术标准相一致。</w:t>
      </w:r>
    </w:p>
    <w:p>
      <w:pPr>
        <w:spacing w:line="360" w:lineRule="exact"/>
        <w:rPr>
          <w:rFonts w:ascii="宋体" w:hAnsi="宋体" w:cs="宋体"/>
          <w:sz w:val="24"/>
        </w:rPr>
      </w:pPr>
      <w:bookmarkStart w:id="111" w:name="_Toc5070_WPSOffice_Level2"/>
      <w:bookmarkStart w:id="112" w:name="_Toc28602_WPSOffice_Level2"/>
      <w:r>
        <w:rPr>
          <w:rFonts w:hint="eastAsia" w:ascii="宋体" w:hAnsi="宋体" w:cs="宋体"/>
          <w:sz w:val="24"/>
        </w:rPr>
        <w:t>第三条服务地点地点和服务期限</w:t>
      </w:r>
      <w:bookmarkEnd w:id="111"/>
      <w:bookmarkEnd w:id="112"/>
    </w:p>
    <w:p>
      <w:pPr>
        <w:spacing w:line="360" w:lineRule="exact"/>
        <w:rPr>
          <w:rFonts w:ascii="宋体" w:hAnsi="宋体" w:cs="宋体"/>
          <w:sz w:val="24"/>
        </w:rPr>
      </w:pPr>
      <w:r>
        <w:rPr>
          <w:rFonts w:hint="eastAsia" w:ascii="宋体" w:hAnsi="宋体" w:cs="宋体"/>
          <w:sz w:val="24"/>
        </w:rPr>
        <w:t>服务地点：</w:t>
      </w:r>
    </w:p>
    <w:p>
      <w:pPr>
        <w:spacing w:line="360" w:lineRule="exact"/>
        <w:rPr>
          <w:rFonts w:ascii="宋体" w:hAnsi="宋体" w:cs="宋体"/>
          <w:sz w:val="24"/>
        </w:rPr>
      </w:pPr>
      <w:r>
        <w:rPr>
          <w:rFonts w:hint="eastAsia" w:ascii="宋体" w:hAnsi="宋体" w:cs="宋体"/>
          <w:sz w:val="24"/>
        </w:rPr>
        <w:t>服务期限：</w:t>
      </w:r>
    </w:p>
    <w:p>
      <w:pPr>
        <w:spacing w:line="360" w:lineRule="exact"/>
        <w:rPr>
          <w:rFonts w:ascii="宋体" w:hAnsi="宋体" w:cs="宋体"/>
          <w:sz w:val="24"/>
        </w:rPr>
      </w:pPr>
      <w:bookmarkStart w:id="113" w:name="_Toc23860_WPSOffice_Level2"/>
      <w:bookmarkStart w:id="114" w:name="_Toc8747_WPSOffice_Level2"/>
      <w:r>
        <w:rPr>
          <w:rFonts w:hint="eastAsia" w:ascii="宋体" w:hAnsi="宋体" w:cs="宋体"/>
          <w:sz w:val="24"/>
        </w:rPr>
        <w:t>第四条合同总价款</w:t>
      </w:r>
      <w:bookmarkEnd w:id="113"/>
      <w:bookmarkEnd w:id="114"/>
    </w:p>
    <w:p>
      <w:pPr>
        <w:spacing w:line="360" w:lineRule="exact"/>
        <w:ind w:firstLine="480" w:firstLineChars="200"/>
        <w:rPr>
          <w:rFonts w:ascii="宋体" w:hAnsi="宋体" w:cs="宋体"/>
          <w:sz w:val="24"/>
        </w:rPr>
      </w:pPr>
      <w:r>
        <w:rPr>
          <w:rFonts w:hint="eastAsia" w:ascii="宋体" w:hAnsi="宋体" w:cs="宋体"/>
          <w:sz w:val="24"/>
        </w:rPr>
        <w:t>合同总价款（大小写）：</w:t>
      </w:r>
      <w:r>
        <w:rPr>
          <w:rFonts w:hint="eastAsia" w:ascii="宋体" w:hAnsi="宋体" w:cs="宋体"/>
          <w:sz w:val="24"/>
          <w:u w:val="single"/>
        </w:rPr>
        <w:t xml:space="preserve">                     </w:t>
      </w:r>
    </w:p>
    <w:p>
      <w:pPr>
        <w:spacing w:line="360" w:lineRule="exact"/>
        <w:rPr>
          <w:rFonts w:ascii="宋体" w:hAnsi="宋体" w:cs="宋体"/>
          <w:sz w:val="24"/>
        </w:rPr>
      </w:pPr>
      <w:bookmarkStart w:id="115" w:name="_Toc23442_WPSOffice_Level2"/>
      <w:bookmarkStart w:id="116" w:name="_Toc10958_WPSOffice_Level2"/>
      <w:r>
        <w:rPr>
          <w:rFonts w:hint="eastAsia" w:ascii="宋体" w:hAnsi="宋体" w:cs="宋体"/>
          <w:sz w:val="24"/>
        </w:rPr>
        <w:t>第五条付款方式：本合同以人民币付款</w:t>
      </w:r>
      <w:bookmarkEnd w:id="115"/>
      <w:bookmarkEnd w:id="116"/>
    </w:p>
    <w:p>
      <w:pPr>
        <w:spacing w:line="360" w:lineRule="exact"/>
        <w:ind w:firstLine="241" w:firstLineChars="100"/>
        <w:rPr>
          <w:rFonts w:ascii="宋体" w:hAnsi="宋体" w:cs="宋体"/>
          <w:sz w:val="24"/>
        </w:rPr>
      </w:pPr>
      <w:r>
        <w:rPr>
          <w:rFonts w:hint="eastAsia" w:ascii="宋体" w:hAnsi="宋体" w:cs="宋体"/>
          <w:b/>
          <w:bCs/>
          <w:sz w:val="24"/>
          <w:szCs w:val="24"/>
          <w:lang w:bidi="ar"/>
        </w:rPr>
        <w:t>合同款支付方式：</w:t>
      </w: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ind w:firstLine="240" w:firstLineChars="100"/>
        <w:rPr>
          <w:rFonts w:ascii="宋体" w:hAnsi="宋体" w:cs="宋体"/>
          <w:sz w:val="24"/>
        </w:rPr>
      </w:pPr>
      <w:r>
        <w:rPr>
          <w:rFonts w:hint="eastAsia" w:ascii="宋体" w:hAnsi="宋体" w:cs="宋体"/>
          <w:sz w:val="24"/>
        </w:rPr>
        <w:t xml:space="preserve"> 1、变更：任一方不得擅自变更合同，变更需双方协商一致。</w:t>
      </w:r>
    </w:p>
    <w:p>
      <w:pPr>
        <w:spacing w:line="360" w:lineRule="exact"/>
        <w:rPr>
          <w:rFonts w:ascii="宋体" w:hAnsi="宋体" w:cs="宋体"/>
          <w:sz w:val="24"/>
        </w:rPr>
      </w:pPr>
      <w:r>
        <w:rPr>
          <w:rFonts w:hint="eastAsia" w:ascii="宋体" w:hAnsi="宋体" w:cs="宋体"/>
          <w:sz w:val="24"/>
        </w:rPr>
        <w:t xml:space="preserve">   2、解除：任一方在合同履行期限届满后一个月内未履行，或者未全部履行合同的，另一方有权解除合同，一切损失由违约方承担。</w:t>
      </w:r>
    </w:p>
    <w:p>
      <w:pPr>
        <w:spacing w:line="360" w:lineRule="exact"/>
        <w:rPr>
          <w:rFonts w:ascii="宋体" w:hAnsi="宋体" w:cs="宋体"/>
          <w:sz w:val="24"/>
        </w:rPr>
      </w:pPr>
      <w:bookmarkStart w:id="117" w:name="_Toc16240_WPSOffice_Level2"/>
      <w:bookmarkStart w:id="118" w:name="_Toc1492_WPSOffice_Level2"/>
      <w:r>
        <w:rPr>
          <w:rFonts w:hint="eastAsia" w:ascii="宋体" w:hAnsi="宋体" w:cs="宋体"/>
          <w:sz w:val="24"/>
        </w:rPr>
        <w:t>第七条合同生效</w:t>
      </w:r>
      <w:bookmarkEnd w:id="117"/>
      <w:bookmarkEnd w:id="118"/>
    </w:p>
    <w:p>
      <w:pPr>
        <w:spacing w:line="360" w:lineRule="exact"/>
        <w:ind w:firstLine="480" w:firstLineChars="200"/>
        <w:rPr>
          <w:rFonts w:ascii="宋体" w:hAnsi="宋体" w:cs="宋体"/>
          <w:sz w:val="24"/>
        </w:rPr>
      </w:pPr>
      <w:r>
        <w:rPr>
          <w:rFonts w:hint="eastAsia" w:ascii="宋体" w:hAnsi="宋体" w:cs="宋体"/>
          <w:sz w:val="24"/>
        </w:rPr>
        <w:t>本合同自甲乙双方当事人签字盖章并经集中采购机构见证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sz w:val="24"/>
          <w:u w:val="single"/>
        </w:rPr>
        <w:t>六</w:t>
      </w:r>
      <w:r>
        <w:rPr>
          <w:rFonts w:hint="eastAsia" w:ascii="宋体" w:hAnsi="宋体" w:cs="宋体"/>
          <w:sz w:val="24"/>
        </w:rPr>
        <w:t>份，甲方</w:t>
      </w:r>
      <w:r>
        <w:rPr>
          <w:rFonts w:hint="eastAsia" w:ascii="宋体" w:hAnsi="宋体" w:cs="宋体"/>
          <w:sz w:val="24"/>
          <w:u w:val="single"/>
        </w:rPr>
        <w:t>三</w:t>
      </w:r>
      <w:r>
        <w:rPr>
          <w:rFonts w:hint="eastAsia" w:ascii="宋体" w:hAnsi="宋体" w:cs="宋体"/>
          <w:sz w:val="24"/>
        </w:rPr>
        <w:t>份，乙方</w:t>
      </w:r>
      <w:r>
        <w:rPr>
          <w:rFonts w:hint="eastAsia" w:ascii="宋体" w:hAnsi="宋体" w:cs="宋体"/>
          <w:sz w:val="24"/>
          <w:u w:val="single"/>
        </w:rPr>
        <w:t>一</w:t>
      </w:r>
      <w:r>
        <w:rPr>
          <w:rFonts w:hint="eastAsia" w:ascii="宋体" w:hAnsi="宋体" w:cs="宋体"/>
          <w:sz w:val="24"/>
        </w:rPr>
        <w:t>份，见证方</w:t>
      </w:r>
      <w:r>
        <w:rPr>
          <w:rFonts w:hint="eastAsia" w:ascii="宋体" w:hAnsi="宋体" w:cs="宋体"/>
          <w:sz w:val="24"/>
          <w:u w:val="single"/>
        </w:rPr>
        <w:t>两</w:t>
      </w:r>
      <w:r>
        <w:rPr>
          <w:rFonts w:hint="eastAsia" w:ascii="宋体" w:hAnsi="宋体" w:cs="宋体"/>
          <w:sz w:val="24"/>
        </w:rPr>
        <w:t>份</w:t>
      </w:r>
    </w:p>
    <w:p>
      <w:pPr>
        <w:spacing w:line="360" w:lineRule="exact"/>
        <w:rPr>
          <w:rFonts w:ascii="宋体" w:hAnsi="宋体" w:cs="宋体"/>
          <w:sz w:val="24"/>
        </w:rPr>
      </w:pPr>
      <w:bookmarkStart w:id="119" w:name="_Toc5905_WPSOffice_Level2"/>
      <w:bookmarkStart w:id="120" w:name="_Toc21852_WPSOffice_Level2"/>
      <w:r>
        <w:rPr>
          <w:rFonts w:hint="eastAsia" w:ascii="宋体" w:hAnsi="宋体" w:cs="宋体"/>
          <w:sz w:val="24"/>
        </w:rPr>
        <w:t>第八条合同有效期</w:t>
      </w:r>
      <w:bookmarkEnd w:id="119"/>
      <w:bookmarkEnd w:id="120"/>
    </w:p>
    <w:p>
      <w:pPr>
        <w:spacing w:line="360" w:lineRule="exact"/>
        <w:ind w:firstLine="480" w:firstLineChars="200"/>
        <w:rPr>
          <w:rFonts w:ascii="宋体" w:hAnsi="宋体" w:cs="宋体"/>
          <w:sz w:val="24"/>
        </w:rPr>
      </w:pPr>
      <w:r>
        <w:rPr>
          <w:rFonts w:hint="eastAsia" w:ascii="宋体" w:hAnsi="宋体" w:cs="宋体"/>
          <w:sz w:val="24"/>
        </w:rPr>
        <w:t>本合同自年月日至年月日有效</w:t>
      </w:r>
    </w:p>
    <w:p>
      <w:pPr>
        <w:spacing w:line="360" w:lineRule="exact"/>
        <w:rPr>
          <w:rFonts w:ascii="宋体" w:hAnsi="宋体" w:cs="宋体"/>
          <w:sz w:val="24"/>
        </w:rPr>
      </w:pPr>
      <w:bookmarkStart w:id="121" w:name="_Toc14851_WPSOffice_Level2"/>
      <w:bookmarkStart w:id="122" w:name="_Toc12266_WPSOffice_Level2"/>
      <w:r>
        <w:rPr>
          <w:rFonts w:hint="eastAsia" w:ascii="宋体" w:hAnsi="宋体" w:cs="宋体"/>
          <w:sz w:val="24"/>
        </w:rPr>
        <w:t>第九条其他</w:t>
      </w:r>
      <w:bookmarkEnd w:id="121"/>
      <w:bookmarkEnd w:id="122"/>
    </w:p>
    <w:p>
      <w:pPr>
        <w:spacing w:line="360" w:lineRule="exact"/>
        <w:ind w:firstLine="480" w:firstLineChars="200"/>
        <w:rPr>
          <w:rFonts w:ascii="宋体" w:hAnsi="宋体" w:cs="宋体"/>
          <w:sz w:val="24"/>
        </w:rPr>
      </w:pPr>
      <w:r>
        <w:rPr>
          <w:rFonts w:hint="eastAsia" w:ascii="宋体" w:hAnsi="宋体" w:cs="宋体"/>
          <w:sz w:val="24"/>
        </w:rPr>
        <w:t>本合同如发生纠纷，当事人双方应当及时协商解决，协商不成时，任何一方均可请采购管理机关调解，调解不成，向合同交货地有管辖权的人民法院起诉。</w:t>
      </w:r>
    </w:p>
    <w:p>
      <w:pPr>
        <w:spacing w:line="360" w:lineRule="exact"/>
        <w:rPr>
          <w:rFonts w:ascii="宋体" w:hAnsi="宋体" w:cs="宋体"/>
          <w:sz w:val="24"/>
        </w:rPr>
      </w:pPr>
      <w:bookmarkStart w:id="123" w:name="_Toc31900_WPSOffice_Level2"/>
      <w:bookmarkStart w:id="124" w:name="_Toc6396_WPSOffice_Level2"/>
      <w:r>
        <w:rPr>
          <w:rFonts w:hint="eastAsia" w:ascii="宋体" w:hAnsi="宋体" w:cs="宋体"/>
          <w:sz w:val="24"/>
        </w:rPr>
        <w:t>第十条合同附件及其效力</w:t>
      </w:r>
      <w:bookmarkEnd w:id="123"/>
      <w:bookmarkEnd w:id="124"/>
    </w:p>
    <w:p>
      <w:pPr>
        <w:spacing w:line="360" w:lineRule="exact"/>
        <w:ind w:firstLine="480" w:firstLineChars="200"/>
        <w:rPr>
          <w:rFonts w:ascii="宋体" w:hAnsi="宋体" w:cs="宋体"/>
          <w:sz w:val="24"/>
          <w:szCs w:val="22"/>
        </w:rPr>
      </w:pPr>
      <w:r>
        <w:rPr>
          <w:rFonts w:hint="eastAsia" w:ascii="宋体" w:hAnsi="宋体" w:cs="宋体"/>
          <w:sz w:val="24"/>
          <w:szCs w:val="22"/>
        </w:rPr>
        <w:t xml:space="preserve"> </w:t>
      </w:r>
    </w:p>
    <w:p>
      <w:pPr>
        <w:spacing w:line="360" w:lineRule="exact"/>
        <w:ind w:firstLine="480" w:firstLineChars="200"/>
        <w:rPr>
          <w:rFonts w:ascii="宋体" w:hAnsi="宋体" w:cs="宋体"/>
          <w:sz w:val="24"/>
          <w:szCs w:val="22"/>
        </w:rPr>
      </w:pPr>
      <w:r>
        <w:rPr>
          <w:rFonts w:hint="eastAsia" w:ascii="宋体" w:hAnsi="宋体" w:cs="宋体"/>
          <w:sz w:val="24"/>
          <w:szCs w:val="22"/>
        </w:rPr>
        <w:t xml:space="preserve">采购人（甲方）：                          供货人（乙方）：  </w:t>
      </w:r>
    </w:p>
    <w:p>
      <w:pPr>
        <w:spacing w:line="360" w:lineRule="exact"/>
        <w:ind w:firstLine="480" w:firstLineChars="200"/>
        <w:rPr>
          <w:rFonts w:ascii="宋体" w:hAnsi="宋体" w:cs="宋体"/>
          <w:sz w:val="24"/>
          <w:szCs w:val="22"/>
        </w:rPr>
      </w:pPr>
      <w:r>
        <w:rPr>
          <w:rFonts w:hint="eastAsia" w:ascii="宋体" w:hAnsi="宋体" w:cs="宋体"/>
          <w:sz w:val="24"/>
          <w:szCs w:val="22"/>
        </w:rPr>
        <w:t>（公章）                                （公章）</w:t>
      </w:r>
    </w:p>
    <w:p>
      <w:pPr>
        <w:spacing w:line="360" w:lineRule="exact"/>
        <w:ind w:firstLine="480" w:firstLineChars="200"/>
        <w:rPr>
          <w:rFonts w:ascii="宋体" w:hAnsi="宋体" w:cs="宋体"/>
          <w:sz w:val="24"/>
          <w:szCs w:val="22"/>
        </w:rPr>
      </w:pPr>
      <w:r>
        <w:rPr>
          <w:rFonts w:hint="eastAsia" w:ascii="宋体" w:hAnsi="宋体" w:cs="宋体"/>
          <w:sz w:val="24"/>
          <w:szCs w:val="22"/>
        </w:rPr>
        <w:t xml:space="preserve">法定代表人：                             法定代表人：  </w:t>
      </w:r>
    </w:p>
    <w:p>
      <w:pPr>
        <w:spacing w:line="360" w:lineRule="exact"/>
        <w:ind w:firstLine="480" w:firstLineChars="200"/>
        <w:rPr>
          <w:rFonts w:ascii="宋体" w:hAnsi="宋体" w:cs="宋体"/>
          <w:sz w:val="24"/>
          <w:szCs w:val="22"/>
        </w:rPr>
      </w:pPr>
      <w:r>
        <w:rPr>
          <w:rFonts w:hint="eastAsia" w:ascii="宋体" w:hAnsi="宋体" w:cs="宋体"/>
          <w:sz w:val="24"/>
          <w:szCs w:val="22"/>
        </w:rPr>
        <w:t>委托代理人：                             委托代理人：</w:t>
      </w:r>
    </w:p>
    <w:p>
      <w:pPr>
        <w:spacing w:line="360" w:lineRule="exact"/>
        <w:ind w:firstLine="480" w:firstLineChars="200"/>
        <w:rPr>
          <w:rFonts w:ascii="宋体" w:hAnsi="宋体" w:cs="宋体"/>
          <w:sz w:val="24"/>
          <w:szCs w:val="22"/>
        </w:rPr>
      </w:pPr>
      <w:r>
        <w:rPr>
          <w:rFonts w:hint="eastAsia" w:ascii="宋体" w:hAnsi="宋体" w:cs="宋体"/>
          <w:sz w:val="24"/>
          <w:szCs w:val="22"/>
        </w:rPr>
        <w:t>电话：                                    电话：</w:t>
      </w:r>
    </w:p>
    <w:p>
      <w:pPr>
        <w:spacing w:line="360" w:lineRule="exact"/>
        <w:ind w:firstLine="480" w:firstLineChars="200"/>
        <w:rPr>
          <w:rFonts w:ascii="宋体" w:hAnsi="宋体" w:cs="宋体"/>
          <w:sz w:val="24"/>
          <w:szCs w:val="22"/>
        </w:rPr>
      </w:pPr>
      <w:r>
        <w:rPr>
          <w:rFonts w:hint="eastAsia" w:ascii="宋体" w:hAnsi="宋体" w:cs="宋体"/>
          <w:sz w:val="24"/>
          <w:szCs w:val="22"/>
        </w:rPr>
        <w:t xml:space="preserve">      年   月   日                             年   月   日</w:t>
      </w:r>
    </w:p>
    <w:p>
      <w:pPr>
        <w:spacing w:line="360" w:lineRule="exact"/>
        <w:ind w:firstLine="480" w:firstLineChars="200"/>
        <w:rPr>
          <w:rFonts w:hint="eastAsia" w:ascii="宋体" w:hAnsi="宋体" w:cs="宋体"/>
          <w:sz w:val="24"/>
          <w:szCs w:val="22"/>
        </w:rPr>
      </w:pPr>
      <w:r>
        <w:rPr>
          <w:rFonts w:hint="eastAsia" w:ascii="宋体" w:hAnsi="宋体" w:cs="宋体"/>
          <w:sz w:val="24"/>
          <w:szCs w:val="22"/>
        </w:rPr>
        <w:t xml:space="preserve">   </w:t>
      </w:r>
    </w:p>
    <w:p>
      <w:pPr>
        <w:pStyle w:val="2"/>
        <w:rPr>
          <w:rFonts w:hint="eastAsia" w:ascii="宋体" w:hAnsi="宋体" w:cs="宋体"/>
          <w:sz w:val="24"/>
          <w:szCs w:val="22"/>
        </w:rPr>
      </w:pPr>
    </w:p>
    <w:p>
      <w:pPr>
        <w:pStyle w:val="2"/>
        <w:rPr>
          <w:rFonts w:hint="eastAsia" w:ascii="宋体" w:hAnsi="宋体" w:cs="宋体"/>
          <w:sz w:val="24"/>
          <w:szCs w:val="22"/>
        </w:rPr>
      </w:pPr>
    </w:p>
    <w:p>
      <w:pPr>
        <w:pStyle w:val="2"/>
        <w:rPr>
          <w:rFonts w:hint="eastAsia" w:ascii="宋体" w:hAnsi="宋体" w:cs="宋体"/>
          <w:sz w:val="24"/>
          <w:szCs w:val="22"/>
        </w:rPr>
      </w:pPr>
    </w:p>
    <w:p>
      <w:pPr>
        <w:pStyle w:val="2"/>
        <w:rPr>
          <w:rFonts w:hint="eastAsia" w:ascii="宋体" w:hAnsi="宋体" w:cs="宋体"/>
          <w:sz w:val="24"/>
          <w:szCs w:val="22"/>
        </w:rPr>
      </w:pPr>
    </w:p>
    <w:p>
      <w:pPr>
        <w:pStyle w:val="2"/>
        <w:rPr>
          <w:rFonts w:hint="eastAsia" w:ascii="宋体" w:hAnsi="宋体" w:cs="宋体"/>
          <w:sz w:val="24"/>
          <w:szCs w:val="22"/>
        </w:rPr>
      </w:pPr>
    </w:p>
    <w:p>
      <w:pPr>
        <w:pStyle w:val="2"/>
        <w:rPr>
          <w:rFonts w:hint="eastAsia" w:ascii="宋体" w:hAnsi="宋体" w:cs="宋体"/>
          <w:sz w:val="24"/>
          <w:szCs w:val="22"/>
        </w:rPr>
      </w:pPr>
    </w:p>
    <w:p>
      <w:pPr>
        <w:pStyle w:val="2"/>
        <w:rPr>
          <w:rFonts w:hint="eastAsia" w:ascii="宋体" w:hAnsi="宋体" w:cs="宋体"/>
          <w:sz w:val="24"/>
          <w:szCs w:val="22"/>
        </w:rPr>
      </w:pPr>
    </w:p>
    <w:p>
      <w:pPr>
        <w:pStyle w:val="26"/>
        <w:spacing w:before="120" w:after="120" w:line="360" w:lineRule="auto"/>
        <w:jc w:val="both"/>
        <w:rPr>
          <w:rFonts w:hint="eastAsia" w:ascii="宋体" w:hAnsi="宋体" w:cs="宋体"/>
          <w:b w:val="0"/>
          <w:bCs w:val="0"/>
          <w:sz w:val="24"/>
          <w:szCs w:val="24"/>
        </w:rPr>
      </w:pPr>
    </w:p>
    <w:p>
      <w:pPr>
        <w:jc w:val="center"/>
        <w:rPr>
          <w:rFonts w:ascii="宋体"/>
          <w:b/>
          <w:bCs/>
        </w:rPr>
      </w:pPr>
    </w:p>
    <w:p>
      <w:pPr>
        <w:jc w:val="center"/>
        <w:rPr>
          <w:rFonts w:ascii="宋体"/>
          <w:b/>
          <w:bCs/>
        </w:rPr>
      </w:pPr>
    </w:p>
    <w:p>
      <w:pPr>
        <w:jc w:val="center"/>
        <w:rPr>
          <w:rFonts w:ascii="宋体"/>
          <w:b/>
          <w:bCs/>
        </w:rPr>
      </w:pPr>
    </w:p>
    <w:p>
      <w:pPr>
        <w:jc w:val="center"/>
        <w:rPr>
          <w:rFonts w:hint="eastAsia" w:ascii="宋体"/>
          <w:b/>
          <w:bCs/>
        </w:rPr>
      </w:pPr>
    </w:p>
    <w:p>
      <w:pPr>
        <w:pStyle w:val="27"/>
        <w:rPr>
          <w:rFonts w:hint="eastAsia" w:eastAsia="宋体"/>
        </w:rPr>
      </w:pPr>
    </w:p>
    <w:p>
      <w:pPr>
        <w:rPr>
          <w:rFonts w:hint="eastAsia"/>
          <w:sz w:val="32"/>
          <w:szCs w:val="32"/>
        </w:rPr>
      </w:pPr>
      <w:r>
        <w:rPr>
          <w:rFonts w:hint="eastAsia"/>
          <w:sz w:val="32"/>
          <w:szCs w:val="32"/>
        </w:rPr>
        <w:t xml:space="preserve">               </w:t>
      </w:r>
    </w:p>
    <w:p>
      <w:pPr>
        <w:rPr>
          <w:rFonts w:hint="eastAsia"/>
          <w:sz w:val="32"/>
          <w:szCs w:val="32"/>
        </w:rPr>
      </w:pPr>
    </w:p>
    <w:p>
      <w:pPr>
        <w:rPr>
          <w:rFonts w:hint="eastAsia"/>
          <w:sz w:val="32"/>
          <w:szCs w:val="32"/>
        </w:rPr>
      </w:pPr>
    </w:p>
    <w:p>
      <w:pPr>
        <w:rPr>
          <w:rFonts w:hint="eastAsia"/>
          <w:sz w:val="32"/>
          <w:szCs w:val="32"/>
        </w:rPr>
      </w:pPr>
    </w:p>
    <w:p>
      <w:pPr>
        <w:ind w:firstLine="2891" w:firstLineChars="900"/>
        <w:rPr>
          <w:rFonts w:hint="eastAsia"/>
          <w:b/>
          <w:bCs/>
          <w:sz w:val="32"/>
          <w:szCs w:val="32"/>
        </w:rPr>
      </w:pPr>
    </w:p>
    <w:p>
      <w:pPr>
        <w:ind w:firstLine="2891" w:firstLineChars="900"/>
        <w:rPr>
          <w:rFonts w:hint="eastAsia"/>
          <w:b/>
          <w:bCs/>
          <w:sz w:val="32"/>
          <w:szCs w:val="32"/>
        </w:rPr>
      </w:pPr>
      <w:r>
        <w:rPr>
          <w:rFonts w:hint="eastAsia"/>
          <w:b/>
          <w:bCs/>
          <w:sz w:val="32"/>
          <w:szCs w:val="32"/>
        </w:rPr>
        <w:t>第五章 采购需求</w:t>
      </w:r>
    </w:p>
    <w:tbl>
      <w:tblPr>
        <w:tblStyle w:val="28"/>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1394"/>
        <w:gridCol w:w="4336"/>
        <w:gridCol w:w="1050"/>
        <w:gridCol w:w="883"/>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3" w:type="dxa"/>
            <w:vAlign w:val="center"/>
          </w:tcPr>
          <w:p>
            <w:pPr>
              <w:pStyle w:val="70"/>
              <w:ind w:right="129"/>
              <w:jc w:val="center"/>
              <w:rPr>
                <w:sz w:val="24"/>
              </w:rPr>
            </w:pPr>
            <w:r>
              <w:rPr>
                <w:sz w:val="24"/>
              </w:rPr>
              <w:t>序号</w:t>
            </w:r>
          </w:p>
        </w:tc>
        <w:tc>
          <w:tcPr>
            <w:tcW w:w="1394" w:type="dxa"/>
            <w:vAlign w:val="center"/>
          </w:tcPr>
          <w:p>
            <w:pPr>
              <w:pStyle w:val="70"/>
              <w:ind w:right="155"/>
              <w:jc w:val="center"/>
              <w:rPr>
                <w:rFonts w:hint="eastAsia" w:eastAsia="宋体"/>
                <w:sz w:val="24"/>
                <w:lang w:eastAsia="zh-CN"/>
              </w:rPr>
            </w:pPr>
            <w:r>
              <w:rPr>
                <w:rFonts w:hint="eastAsia"/>
                <w:sz w:val="24"/>
                <w:lang w:val="en-US" w:eastAsia="zh-CN"/>
              </w:rPr>
              <w:t>货物名称</w:t>
            </w:r>
          </w:p>
        </w:tc>
        <w:tc>
          <w:tcPr>
            <w:tcW w:w="4336" w:type="dxa"/>
            <w:vAlign w:val="center"/>
          </w:tcPr>
          <w:p>
            <w:pPr>
              <w:pStyle w:val="70"/>
              <w:jc w:val="center"/>
              <w:rPr>
                <w:sz w:val="24"/>
              </w:rPr>
            </w:pPr>
            <w:r>
              <w:rPr>
                <w:sz w:val="24"/>
              </w:rPr>
              <w:t>技术、规格及要求</w:t>
            </w:r>
          </w:p>
        </w:tc>
        <w:tc>
          <w:tcPr>
            <w:tcW w:w="1050" w:type="dxa"/>
            <w:vAlign w:val="center"/>
          </w:tcPr>
          <w:p>
            <w:pPr>
              <w:pStyle w:val="70"/>
              <w:spacing w:before="65" w:line="242" w:lineRule="auto"/>
              <w:ind w:left="176" w:right="166"/>
              <w:jc w:val="center"/>
              <w:rPr>
                <w:sz w:val="24"/>
              </w:rPr>
            </w:pPr>
            <w:r>
              <w:rPr>
                <w:sz w:val="24"/>
              </w:rPr>
              <w:t>数量</w:t>
            </w:r>
          </w:p>
        </w:tc>
        <w:tc>
          <w:tcPr>
            <w:tcW w:w="883" w:type="dxa"/>
            <w:vAlign w:val="center"/>
          </w:tcPr>
          <w:p>
            <w:pPr>
              <w:pStyle w:val="70"/>
              <w:spacing w:before="65" w:line="242" w:lineRule="auto"/>
              <w:ind w:left="186" w:right="176"/>
              <w:jc w:val="center"/>
              <w:rPr>
                <w:sz w:val="24"/>
              </w:rPr>
            </w:pPr>
            <w:r>
              <w:rPr>
                <w:sz w:val="24"/>
              </w:rPr>
              <w:t>单位</w:t>
            </w:r>
          </w:p>
        </w:tc>
        <w:tc>
          <w:tcPr>
            <w:tcW w:w="950" w:type="dxa"/>
            <w:vAlign w:val="center"/>
          </w:tcPr>
          <w:p>
            <w:pPr>
              <w:pStyle w:val="70"/>
              <w:spacing w:before="65" w:line="242" w:lineRule="auto"/>
              <w:ind w:left="207" w:right="197"/>
              <w:jc w:val="center"/>
              <w:rPr>
                <w:rFonts w:hint="eastAsia" w:eastAsia="宋体"/>
                <w:sz w:val="24"/>
                <w:lang w:val="en-US" w:eastAsia="zh-CN"/>
              </w:rPr>
            </w:pPr>
            <w:r>
              <w:rPr>
                <w:rFonts w:hint="eastAsia"/>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943" w:type="dxa"/>
            <w:vAlign w:val="center"/>
          </w:tcPr>
          <w:p>
            <w:pPr>
              <w:pStyle w:val="70"/>
              <w:spacing w:before="98"/>
              <w:ind w:left="9"/>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c>
          <w:tcPr>
            <w:tcW w:w="1394" w:type="dxa"/>
            <w:vAlign w:val="center"/>
          </w:tcPr>
          <w:p>
            <w:pPr>
              <w:pStyle w:val="7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遮光布（折皱按1：2倍计算，含所有安装铺材）</w:t>
            </w:r>
          </w:p>
        </w:tc>
        <w:tc>
          <w:tcPr>
            <w:tcW w:w="4336" w:type="dxa"/>
            <w:vAlign w:val="center"/>
          </w:tcPr>
          <w:p>
            <w:pPr>
              <w:widowControl/>
              <w:numPr>
                <w:ilvl w:val="0"/>
                <w:numId w:val="1"/>
              </w:numPr>
              <w:spacing w:line="360" w:lineRule="auto"/>
              <w:jc w:val="left"/>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遮光:</w:t>
            </w:r>
            <w:r>
              <w:rPr>
                <w:rFonts w:hint="eastAsia" w:asciiTheme="minorEastAsia" w:hAnsiTheme="minorEastAsia" w:eastAsiaTheme="minorEastAsia" w:cstheme="minorEastAsia"/>
                <w:bCs/>
                <w:sz w:val="21"/>
                <w:szCs w:val="21"/>
              </w:rPr>
              <w:t>95%以上</w:t>
            </w:r>
            <w:r>
              <w:rPr>
                <w:rFonts w:hint="eastAsia" w:asciiTheme="minorEastAsia" w:hAnsiTheme="minorEastAsia" w:eastAsiaTheme="minorEastAsia" w:cstheme="minorEastAsia"/>
                <w:kern w:val="0"/>
                <w:sz w:val="21"/>
                <w:szCs w:val="21"/>
                <w:lang w:bidi="ar"/>
              </w:rPr>
              <w:t>，防反色光线；</w:t>
            </w:r>
          </w:p>
          <w:p>
            <w:pPr>
              <w:widowControl/>
              <w:numPr>
                <w:ilvl w:val="0"/>
                <w:numId w:val="1"/>
              </w:numPr>
              <w:spacing w:line="360" w:lineRule="auto"/>
              <w:jc w:val="left"/>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面料要求：</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2.1、纤维含量：聚酯纤维100%；</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2.2、甲醛含量(mg/kg)≤20 ；</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2.3、ph值：4.0-9.0；</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2.4、可分解致癌芳香胺染料(mg/kg)≤20；</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2.5、异味：无异味；</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2.6、耐酸汗渍色牢度(级)：变色≥4，沾色≥4；</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2.7、耐碱汗渍色牢度(级)：变色≥4，沾色≥4；</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2.8、耐皂洗色牢度(级)：变色≥4，沾色≥4；</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2.9、耐摩擦色牢度(级)：干摩≥4，湿摩≥4；</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2.10、耐光色牢度（48h）（级）≥5级；</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2.11、可萃取重金属含量(mg/kg )：铅≤0.01，铬≤0.01，铜≤0.01，汞≤0.01，砷≤0.60；</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2.12、纬斜(%)≤1.0；</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2.13水洗尺寸变化率：经向±2，纬向±2；</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2.14、带电电荷量(μC/m²)≤0.1</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2.15、壬基酚聚氧乙烯醚（mg/kg）≤1，辛基酚聚氧乙烯醚（mg/kg）≤1；</w:t>
            </w:r>
          </w:p>
          <w:p>
            <w:pPr>
              <w:widowControl/>
              <w:spacing w:line="360" w:lineRule="auto"/>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2.16、五氯苯酚（mg/kg）≤0.05；</w:t>
            </w:r>
          </w:p>
          <w:p>
            <w:pPr>
              <w:widowControl/>
              <w:spacing w:line="360" w:lineRule="auto"/>
              <w:jc w:val="left"/>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2.17、金黄色葡萄球菌＞99%；</w:t>
            </w:r>
          </w:p>
          <w:p>
            <w:pPr>
              <w:spacing w:line="360" w:lineRule="auto"/>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w:t>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kern w:val="0"/>
                <w:sz w:val="21"/>
                <w:szCs w:val="21"/>
                <w:lang w:bidi="ar"/>
              </w:rPr>
              <w:t>大肠杆菌抑菌率≥99%；</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r>
              <w:rPr>
                <w:rFonts w:hint="eastAsia" w:asciiTheme="minorEastAsia" w:hAnsiTheme="minorEastAsia" w:eastAsiaTheme="minorEastAsia" w:cstheme="minorEastAsia"/>
                <w:sz w:val="21"/>
                <w:szCs w:val="21"/>
              </w:rPr>
              <w:t>19、白色念珠菌抑菌率</w:t>
            </w:r>
            <w:r>
              <w:rPr>
                <w:rFonts w:hint="eastAsia" w:asciiTheme="minorEastAsia" w:hAnsiTheme="minorEastAsia" w:eastAsiaTheme="minorEastAsia" w:cstheme="minorEastAsia"/>
                <w:kern w:val="0"/>
                <w:sz w:val="21"/>
                <w:szCs w:val="21"/>
                <w:lang w:bidi="ar"/>
              </w:rPr>
              <w:t>≥95%；</w:t>
            </w:r>
          </w:p>
          <w:p>
            <w:pPr>
              <w:spacing w:line="360" w:lineRule="auto"/>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2.20、肺炎克雷白氏菌抑菌率＞99%；</w:t>
            </w:r>
          </w:p>
          <w:p>
            <w:pPr>
              <w:widowControl/>
              <w:spacing w:line="360" w:lineRule="auto"/>
              <w:jc w:val="left"/>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w:t>
            </w:r>
            <w:r>
              <w:rPr>
                <w:rFonts w:hint="eastAsia" w:asciiTheme="minorEastAsia" w:hAnsiTheme="minorEastAsia" w:eastAsiaTheme="minorEastAsia" w:cstheme="minorEastAsia"/>
                <w:sz w:val="21"/>
                <w:szCs w:val="21"/>
              </w:rPr>
              <w:t>21、防霉等级：0级；</w:t>
            </w:r>
          </w:p>
          <w:p>
            <w:pPr>
              <w:widowControl/>
              <w:spacing w:line="360" w:lineRule="auto"/>
              <w:jc w:val="left"/>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3、重量：每米≥900克；</w:t>
            </w:r>
          </w:p>
          <w:p>
            <w:pPr>
              <w:spacing w:line="36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val="en-US" w:eastAsia="zh-CN"/>
              </w:rPr>
              <w:t>4、窗帘尺寸及数量 :</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、6.67</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、2.97</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、6.33</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lang w:val="en-US" w:eastAsia="zh-CN"/>
              </w:rPr>
              <w:t>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一个</w:t>
            </w:r>
            <w:r>
              <w:rPr>
                <w:rFonts w:hint="eastAsia" w:asciiTheme="minorEastAsia" w:hAnsiTheme="minorEastAsia" w:eastAsiaTheme="minorEastAsia" w:cstheme="minorEastAsia"/>
                <w:sz w:val="21"/>
                <w:szCs w:val="21"/>
                <w:lang w:eastAsia="zh-CN"/>
              </w:rPr>
              <w:t>）</w:t>
            </w:r>
          </w:p>
        </w:tc>
        <w:tc>
          <w:tcPr>
            <w:tcW w:w="1050" w:type="dxa"/>
            <w:vAlign w:val="center"/>
          </w:tcPr>
          <w:p>
            <w:pPr>
              <w:pStyle w:val="7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80</w:t>
            </w:r>
          </w:p>
        </w:tc>
        <w:tc>
          <w:tcPr>
            <w:tcW w:w="883" w:type="dxa"/>
            <w:vAlign w:val="center"/>
          </w:tcPr>
          <w:p>
            <w:pPr>
              <w:pStyle w:val="7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米</w:t>
            </w:r>
          </w:p>
        </w:tc>
        <w:tc>
          <w:tcPr>
            <w:tcW w:w="950" w:type="dxa"/>
            <w:vAlign w:val="center"/>
          </w:tcPr>
          <w:p>
            <w:pPr>
              <w:pStyle w:val="70"/>
              <w:jc w:val="center"/>
              <w:rPr>
                <w:rFonts w:hint="eastAsia" w:asciiTheme="minorEastAsia" w:hAnsiTheme="minorEastAsia" w:eastAsiaTheme="minorEastAsia" w:cs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3" w:type="dxa"/>
            <w:vAlign w:val="center"/>
          </w:tcPr>
          <w:p>
            <w:pPr>
              <w:pStyle w:val="70"/>
              <w:spacing w:line="254" w:lineRule="exact"/>
              <w:ind w:left="0" w:leftChars="0" w:right="66"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394" w:type="dxa"/>
            <w:vAlign w:val="center"/>
          </w:tcPr>
          <w:p>
            <w:pPr>
              <w:pStyle w:val="7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椅套</w:t>
            </w:r>
          </w:p>
        </w:tc>
        <w:tc>
          <w:tcPr>
            <w:tcW w:w="4336" w:type="dxa"/>
            <w:vAlign w:val="center"/>
          </w:tcPr>
          <w:p>
            <w:pPr>
              <w:pStyle w:val="7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rPr>
              <w:t>加厚弹力布420克工艺精细</w:t>
            </w:r>
            <w:r>
              <w:rPr>
                <w:rFonts w:hint="eastAsia" w:asciiTheme="minorEastAsia" w:hAnsiTheme="minorEastAsia" w:eastAsiaTheme="minorEastAsia" w:cstheme="minorEastAsia"/>
                <w:sz w:val="21"/>
                <w:szCs w:val="21"/>
                <w:lang w:val="en-US"/>
              </w:rPr>
              <w:t>,易清洗</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靠背</w:t>
            </w:r>
            <w:r>
              <w:rPr>
                <w:rFonts w:hint="eastAsia" w:asciiTheme="minorEastAsia" w:hAnsiTheme="minorEastAsia" w:eastAsiaTheme="minorEastAsia" w:cstheme="minorEastAsia"/>
                <w:sz w:val="21"/>
                <w:szCs w:val="21"/>
                <w:lang w:val="en-US" w:eastAsia="zh-CN"/>
              </w:rPr>
              <w:t>高43公分宽53，底座45宽44长，</w:t>
            </w:r>
            <w:r>
              <w:rPr>
                <w:rFonts w:hint="eastAsia" w:asciiTheme="minorEastAsia" w:hAnsiTheme="minorEastAsia" w:eastAsiaTheme="minorEastAsia" w:cstheme="minorEastAsia"/>
                <w:sz w:val="21"/>
                <w:szCs w:val="21"/>
              </w:rPr>
              <w:t>分开两截制作（靠背套及坐套）</w:t>
            </w:r>
            <w:r>
              <w:rPr>
                <w:rFonts w:hint="eastAsia" w:asciiTheme="minorEastAsia" w:hAnsiTheme="minorEastAsia" w:eastAsiaTheme="minorEastAsia" w:cstheme="minorEastAsia"/>
                <w:sz w:val="21"/>
                <w:szCs w:val="21"/>
                <w:lang w:eastAsia="zh-CN"/>
              </w:rPr>
              <w:t>。</w:t>
            </w:r>
          </w:p>
        </w:tc>
        <w:tc>
          <w:tcPr>
            <w:tcW w:w="1050" w:type="dxa"/>
            <w:vAlign w:val="center"/>
          </w:tcPr>
          <w:p>
            <w:pPr>
              <w:pStyle w:val="7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83" w:type="dxa"/>
            <w:vAlign w:val="center"/>
          </w:tcPr>
          <w:p>
            <w:pPr>
              <w:pStyle w:val="7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个</w:t>
            </w:r>
          </w:p>
        </w:tc>
        <w:tc>
          <w:tcPr>
            <w:tcW w:w="950" w:type="dxa"/>
            <w:vAlign w:val="center"/>
          </w:tcPr>
          <w:p>
            <w:pPr>
              <w:pStyle w:val="70"/>
              <w:jc w:val="center"/>
              <w:rPr>
                <w:rFonts w:hint="eastAsia" w:asciiTheme="minorEastAsia" w:hAnsiTheme="minorEastAsia" w:eastAsiaTheme="minorEastAsia" w:cs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3" w:type="dxa"/>
            <w:vAlign w:val="center"/>
          </w:tcPr>
          <w:p>
            <w:pPr>
              <w:pStyle w:val="70"/>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394" w:type="dxa"/>
            <w:vAlign w:val="center"/>
          </w:tcPr>
          <w:p>
            <w:pPr>
              <w:pStyle w:val="7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桌套</w:t>
            </w:r>
          </w:p>
        </w:tc>
        <w:tc>
          <w:tcPr>
            <w:tcW w:w="4336" w:type="dxa"/>
            <w:vAlign w:val="center"/>
          </w:tcPr>
          <w:p>
            <w:pPr>
              <w:pStyle w:val="7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提花高精密</w:t>
            </w:r>
            <w:r>
              <w:rPr>
                <w:rFonts w:hint="eastAsia" w:asciiTheme="minorEastAsia" w:hAnsiTheme="minorEastAsia" w:eastAsiaTheme="minorEastAsia" w:cstheme="minorEastAsia"/>
                <w:sz w:val="21"/>
                <w:szCs w:val="21"/>
                <w:lang w:bidi="ar"/>
              </w:rPr>
              <w:t>重量：每米≥</w:t>
            </w:r>
            <w:r>
              <w:rPr>
                <w:rFonts w:hint="eastAsia" w:asciiTheme="minorEastAsia" w:hAnsiTheme="minorEastAsia" w:eastAsiaTheme="minorEastAsia" w:cstheme="minorEastAsia"/>
                <w:sz w:val="21"/>
                <w:szCs w:val="21"/>
                <w:lang w:val="en-US" w:bidi="ar"/>
              </w:rPr>
              <w:t>8</w:t>
            </w:r>
            <w:r>
              <w:rPr>
                <w:rFonts w:hint="eastAsia" w:asciiTheme="minorEastAsia" w:hAnsiTheme="minorEastAsia" w:eastAsiaTheme="minorEastAsia" w:cstheme="minorEastAsia"/>
                <w:sz w:val="21"/>
                <w:szCs w:val="21"/>
                <w:lang w:bidi="ar"/>
              </w:rPr>
              <w:t>00克，做工精良服帖；</w:t>
            </w:r>
            <w:r>
              <w:rPr>
                <w:rFonts w:hint="eastAsia" w:asciiTheme="minorEastAsia" w:hAnsiTheme="minorEastAsia" w:eastAsiaTheme="minorEastAsia" w:cstheme="minorEastAsia"/>
                <w:sz w:val="21"/>
                <w:szCs w:val="21"/>
                <w:lang w:eastAsia="zh-CN"/>
              </w:rPr>
              <w:t>桌子面长</w:t>
            </w:r>
            <w:r>
              <w:rPr>
                <w:rFonts w:hint="eastAsia" w:asciiTheme="minorEastAsia" w:hAnsiTheme="minorEastAsia" w:eastAsiaTheme="minorEastAsia" w:cstheme="minorEastAsia"/>
                <w:sz w:val="21"/>
                <w:szCs w:val="21"/>
                <w:lang w:val="en-US" w:eastAsia="zh-CN"/>
              </w:rPr>
              <w:t>180公分，宽40公分，</w:t>
            </w:r>
            <w:r>
              <w:rPr>
                <w:rFonts w:hint="eastAsia" w:asciiTheme="minorEastAsia" w:hAnsiTheme="minorEastAsia" w:eastAsiaTheme="minorEastAsia" w:cstheme="minorEastAsia"/>
                <w:sz w:val="21"/>
                <w:szCs w:val="21"/>
              </w:rPr>
              <w:t>桌裙下垂30公分裙摆（2倍折皱）</w:t>
            </w:r>
            <w:r>
              <w:rPr>
                <w:rFonts w:hint="eastAsia" w:asciiTheme="minorEastAsia" w:hAnsiTheme="minorEastAsia" w:eastAsiaTheme="minorEastAsia" w:cstheme="minorEastAsia"/>
                <w:sz w:val="21"/>
                <w:szCs w:val="21"/>
                <w:lang w:eastAsia="zh-CN"/>
              </w:rPr>
              <w:t>。</w:t>
            </w:r>
          </w:p>
        </w:tc>
        <w:tc>
          <w:tcPr>
            <w:tcW w:w="1050" w:type="dxa"/>
            <w:vAlign w:val="center"/>
          </w:tcPr>
          <w:p>
            <w:pPr>
              <w:pStyle w:val="7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w:t>
            </w:r>
          </w:p>
        </w:tc>
        <w:tc>
          <w:tcPr>
            <w:tcW w:w="883" w:type="dxa"/>
            <w:vAlign w:val="center"/>
          </w:tcPr>
          <w:p>
            <w:pPr>
              <w:pStyle w:val="7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950" w:type="dxa"/>
            <w:vAlign w:val="center"/>
          </w:tcPr>
          <w:p>
            <w:pPr>
              <w:pStyle w:val="70"/>
              <w:jc w:val="left"/>
              <w:rPr>
                <w:rFonts w:hint="eastAsia" w:asciiTheme="minorEastAsia" w:hAnsiTheme="minorEastAsia" w:eastAsiaTheme="minorEastAsia" w:cstheme="minorEastAsia"/>
                <w:sz w:val="21"/>
                <w:szCs w:val="21"/>
                <w:lang w:val="en-US" w:eastAsia="zh-CN"/>
              </w:rPr>
            </w:pPr>
          </w:p>
        </w:tc>
      </w:tr>
    </w:tbl>
    <w:p>
      <w:pPr>
        <w:pStyle w:val="2"/>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w:t>
      </w:r>
    </w:p>
    <w:p>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样品要求：</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1、本项目现场需要携带样品，参与样品评审，样品需要列明投标人名称及项目编号；</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2、样品大小不作要求，但需能够满足采购需求单位鉴定布料、配件、轨道品质等有关问题；</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3、未中标样品，评标结束后退还。中标人样品供货完毕后退还，供货时由招标人进行比较是否为同一产品；</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4、现场未提供样品的，投标无效。</w:t>
      </w:r>
    </w:p>
    <w:p>
      <w:pPr>
        <w:spacing w:line="360" w:lineRule="auto"/>
        <w:rPr>
          <w:rFonts w:ascii="宋体"/>
          <w:b w:val="0"/>
          <w:bCs w:val="0"/>
        </w:rPr>
      </w:pPr>
    </w:p>
    <w:p>
      <w:pPr>
        <w:keepNext/>
        <w:keepLines/>
        <w:pageBreakBefore/>
        <w:ind w:firstLine="437"/>
        <w:jc w:val="center"/>
        <w:outlineLvl w:val="0"/>
        <w:rPr>
          <w:rFonts w:hint="eastAsia" w:ascii="方正宋黑简体" w:hAnsi="宋体" w:eastAsia="方正宋黑简体" w:cs="黑体"/>
          <w:b/>
          <w:bCs/>
          <w:sz w:val="48"/>
          <w:szCs w:val="48"/>
        </w:rPr>
      </w:pPr>
      <w:bookmarkStart w:id="125" w:name="_Toc466549692"/>
      <w:r>
        <w:rPr>
          <w:rFonts w:hint="eastAsia" w:ascii="方正宋黑简体" w:hAnsi="宋体" w:eastAsia="方正宋黑简体" w:cs="黑体"/>
          <w:b/>
          <w:bCs/>
          <w:sz w:val="48"/>
          <w:szCs w:val="48"/>
        </w:rPr>
        <w:t>第</w:t>
      </w:r>
      <w:r>
        <w:rPr>
          <w:rFonts w:hint="eastAsia" w:ascii="方正宋黑简体" w:hAnsi="宋体" w:eastAsia="方正宋黑简体" w:cs="黑体"/>
          <w:b/>
          <w:bCs/>
          <w:sz w:val="48"/>
          <w:szCs w:val="48"/>
          <w:lang w:eastAsia="zh-CN"/>
        </w:rPr>
        <w:t>六</w:t>
      </w:r>
      <w:r>
        <w:rPr>
          <w:rFonts w:hint="eastAsia" w:ascii="方正宋黑简体" w:hAnsi="宋体" w:eastAsia="方正宋黑简体" w:cs="黑体"/>
          <w:b/>
          <w:bCs/>
          <w:sz w:val="48"/>
          <w:szCs w:val="48"/>
        </w:rPr>
        <w:t>章  报价文件</w:t>
      </w:r>
      <w:bookmarkEnd w:id="125"/>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w:t>
      </w:r>
      <w:r>
        <w:rPr>
          <w:rFonts w:hint="eastAsia" w:ascii="黑体" w:hAnsi="黑体" w:eastAsia="黑体"/>
          <w:sz w:val="44"/>
          <w:szCs w:val="44"/>
        </w:rPr>
        <w:t xml:space="preserve">项目名称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lang w:eastAsia="zh-CN"/>
        </w:rPr>
        <w:t>需求科室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26"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hint="eastAsia" w:ascii="仿宋" w:hAnsi="仿宋" w:eastAsia="仿宋" w:cs="Arial"/>
          <w:sz w:val="30"/>
          <w:szCs w:val="30"/>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授权书</w:t>
      </w:r>
      <w:bookmarkEnd w:id="126"/>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本授权书声明：</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公司（工厂）（纳税人识别号：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（法人代表姓名、职 务）代表本公司（工厂）授权本公司（工厂）</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（被授权人的姓名、职务）为本公司（工厂）的 合法代理人，参加</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采购项目活动（项目编号：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 xml:space="preserve">），全权代表本公 司处理谈判过程的一切事宜，包括但不限于：谈判、签约等。供应商代表在谈判过程中所签署的一切文 件和处理与之有关的一切事务，本公司均予以认可并对此承担责任。被授权人无转委托权。特此授权。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本授权书自出具之日起生效。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特此声明。 </w:t>
      </w:r>
    </w:p>
    <w:p>
      <w:pPr>
        <w:spacing w:line="360" w:lineRule="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法定代表人联系方式：</w:t>
      </w:r>
      <w:r>
        <w:rPr>
          <w:rFonts w:hint="eastAsia" w:asciiTheme="minorEastAsia" w:hAnsiTheme="minorEastAsia" w:eastAsiaTheme="minorEastAsia" w:cstheme="minorEastAsia"/>
          <w:sz w:val="28"/>
          <w:szCs w:val="28"/>
          <w:u w:val="single"/>
          <w:lang w:val="en-US" w:eastAsia="zh-CN"/>
        </w:rPr>
        <w:t xml:space="preserve">     （手机号码）     </w:t>
      </w: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授权委托人联系方式：</w:t>
      </w:r>
      <w:r>
        <w:rPr>
          <w:rFonts w:hint="eastAsia" w:asciiTheme="minorEastAsia" w:hAnsiTheme="minorEastAsia" w:eastAsiaTheme="minorEastAsia" w:cstheme="minorEastAsia"/>
          <w:sz w:val="28"/>
          <w:szCs w:val="28"/>
          <w:u w:val="single"/>
          <w:lang w:val="en-US" w:eastAsia="zh-CN"/>
        </w:rPr>
        <w:t xml:space="preserve">     （手机号码）     </w:t>
      </w: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法人代表签字或盖章：</w:t>
      </w:r>
      <w:r>
        <w:rPr>
          <w:rFonts w:hint="eastAsia" w:asciiTheme="minorEastAsia" w:hAnsiTheme="minorEastAsia" w:eastAsiaTheme="minorEastAsia" w:cstheme="minorEastAsia"/>
          <w:sz w:val="28"/>
          <w:szCs w:val="28"/>
          <w:u w:val="single"/>
          <w:lang w:val="en-US" w:eastAsia="zh-CN"/>
        </w:rPr>
        <w:t xml:space="preserve">                  </w:t>
      </w:r>
    </w:p>
    <w:p>
      <w:pPr>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代理人（被授权人）签字或盖章：</w:t>
      </w:r>
      <w:r>
        <w:rPr>
          <w:rFonts w:hint="eastAsia" w:asciiTheme="minorEastAsia" w:hAnsiTheme="minorEastAsia" w:eastAsiaTheme="minorEastAsia" w:cstheme="minorEastAsia"/>
          <w:sz w:val="28"/>
          <w:szCs w:val="28"/>
          <w:u w:val="single"/>
          <w:lang w:val="en-US" w:eastAsia="zh-CN"/>
        </w:rPr>
        <w:t xml:space="preserve">          </w:t>
      </w:r>
    </w:p>
    <w:p>
      <w:pPr>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 xml:space="preserve">供应商盖章： </w:t>
      </w:r>
      <w:r>
        <w:rPr>
          <w:rFonts w:hint="eastAsia" w:asciiTheme="minorEastAsia" w:hAnsiTheme="minorEastAsia" w:eastAsiaTheme="minorEastAsia" w:cstheme="minorEastAsia"/>
          <w:sz w:val="28"/>
          <w:szCs w:val="28"/>
          <w:u w:val="single"/>
          <w:lang w:val="en-US" w:eastAsia="zh-CN"/>
        </w:rPr>
        <w:t xml:space="preserve">            </w:t>
      </w:r>
    </w:p>
    <w:p>
      <w:pPr>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授权委托日期：</w:t>
      </w:r>
      <w:r>
        <w:rPr>
          <w:rFonts w:hint="eastAsia" w:asciiTheme="minorEastAsia" w:hAnsiTheme="minorEastAsia" w:eastAsiaTheme="minorEastAsia" w:cstheme="minorEastAsia"/>
          <w:sz w:val="28"/>
          <w:szCs w:val="28"/>
          <w:u w:val="single"/>
          <w:lang w:val="en-US" w:eastAsia="zh-CN"/>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注：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1.本项目只允许有唯一的供应商授权代表，提供身份证扫描件； </w:t>
      </w:r>
    </w:p>
    <w:p>
      <w:pPr>
        <w:spacing w:line="360" w:lineRule="auto"/>
        <w:rPr>
          <w:rFonts w:hint="eastAsia" w:ascii="仿宋" w:hAnsi="仿宋" w:eastAsia="仿宋" w:cs="Arial"/>
          <w:sz w:val="30"/>
          <w:szCs w:val="30"/>
        </w:rPr>
      </w:pPr>
      <w:r>
        <w:rPr>
          <w:rFonts w:hint="eastAsia" w:asciiTheme="minorEastAsia" w:hAnsiTheme="minorEastAsia" w:eastAsiaTheme="minorEastAsia" w:cstheme="minorEastAsia"/>
          <w:sz w:val="28"/>
          <w:szCs w:val="28"/>
          <w:lang w:val="en-US" w:eastAsia="zh-CN"/>
        </w:rPr>
        <w:t>2.法定代表人参加谈判的无需提供授权书，提供身份证扫描件。</w:t>
      </w:r>
    </w:p>
    <w:p>
      <w:pPr>
        <w:spacing w:line="360" w:lineRule="auto"/>
        <w:rPr>
          <w:rFonts w:hint="eastAsia" w:ascii="仿宋" w:hAnsi="仿宋" w:eastAsia="仿宋" w:cs="Arial"/>
          <w:sz w:val="30"/>
          <w:szCs w:val="30"/>
        </w:rPr>
      </w:pPr>
    </w:p>
    <w:p>
      <w:pPr>
        <w:spacing w:line="240" w:lineRule="atLeast"/>
        <w:jc w:val="center"/>
        <w:rPr>
          <w:rFonts w:ascii="方正宋黑简体" w:hAnsi="宋体" w:eastAsia="方正宋黑简体" w:cs="黑体"/>
          <w:b/>
          <w:bCs/>
          <w:sz w:val="32"/>
          <w:szCs w:val="32"/>
        </w:rPr>
      </w:pPr>
      <w:bookmarkStart w:id="127" w:name="_Toc466549694"/>
      <w:r>
        <w:rPr>
          <w:rFonts w:hint="eastAsia" w:ascii="方正宋黑简体" w:hAnsi="宋体" w:eastAsia="方正宋黑简体" w:cs="黑体"/>
          <w:b/>
          <w:bCs/>
          <w:sz w:val="32"/>
          <w:szCs w:val="32"/>
        </w:rPr>
        <w:t>二、报价函格式</w:t>
      </w:r>
      <w:bookmarkEnd w:id="127"/>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eastAsia="zh-CN"/>
        </w:rPr>
        <w:t>需求科室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w:t>
      </w:r>
      <w:r>
        <w:rPr>
          <w:rFonts w:hint="eastAsia" w:ascii="仿宋" w:hAnsi="仿宋" w:eastAsia="仿宋" w:cs="Arial"/>
          <w:sz w:val="30"/>
          <w:szCs w:val="30"/>
          <w:lang w:eastAsia="zh-CN"/>
        </w:rPr>
        <w:t>竞谈</w:t>
      </w:r>
      <w:r>
        <w:rPr>
          <w:rFonts w:hint="eastAsia" w:ascii="仿宋" w:hAnsi="仿宋" w:eastAsia="仿宋" w:cs="Arial"/>
          <w:sz w:val="30"/>
          <w:szCs w:val="30"/>
        </w:rPr>
        <w:t>文件规定提供交付的货物（包括安装调试售后服务等工作）投标总价为（大写）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w:t>
      </w:r>
      <w:r>
        <w:rPr>
          <w:rFonts w:hint="eastAsia" w:ascii="仿宋" w:hAnsi="仿宋" w:eastAsia="仿宋" w:cs="Arial"/>
          <w:sz w:val="30"/>
          <w:szCs w:val="30"/>
          <w:lang w:eastAsia="zh-CN"/>
        </w:rPr>
        <w:t>竞谈</w:t>
      </w:r>
      <w:r>
        <w:rPr>
          <w:rFonts w:hint="eastAsia" w:ascii="仿宋" w:hAnsi="仿宋" w:eastAsia="仿宋" w:cs="Arial"/>
          <w:sz w:val="30"/>
          <w:szCs w:val="30"/>
        </w:rPr>
        <w:t>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w:t>
      </w:r>
      <w:r>
        <w:rPr>
          <w:rFonts w:hint="eastAsia" w:ascii="仿宋" w:hAnsi="仿宋" w:eastAsia="仿宋" w:cs="Arial"/>
          <w:sz w:val="30"/>
          <w:szCs w:val="30"/>
          <w:lang w:eastAsia="zh-CN"/>
        </w:rPr>
        <w:t>竞谈</w:t>
      </w:r>
      <w:r>
        <w:rPr>
          <w:rFonts w:hint="eastAsia" w:ascii="仿宋" w:hAnsi="仿宋" w:eastAsia="仿宋" w:cs="Arial"/>
          <w:sz w:val="30"/>
          <w:szCs w:val="30"/>
        </w:rPr>
        <w:t>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ind w:firstLine="3360" w:firstLineChars="1400"/>
        <w:rPr>
          <w:rFonts w:hint="eastAsia" w:ascii="方正宋黑简体" w:hAnsi="宋体" w:eastAsia="方正宋黑简体" w:cs="黑体"/>
          <w:b/>
          <w:bCs/>
          <w:sz w:val="32"/>
          <w:szCs w:val="32"/>
        </w:rPr>
      </w:pPr>
      <w:r>
        <w:rPr>
          <w:rFonts w:ascii="仿宋" w:hAnsi="仿宋" w:eastAsia="仿宋" w:cs="Arial"/>
          <w:sz w:val="24"/>
          <w:szCs w:val="24"/>
        </w:rPr>
        <w:br w:type="page"/>
      </w:r>
      <w:bookmarkStart w:id="128" w:name="_Toc466549695"/>
      <w:r>
        <w:rPr>
          <w:rFonts w:hint="eastAsia" w:ascii="方正宋黑简体" w:hAnsi="宋体" w:eastAsia="方正宋黑简体" w:cs="黑体"/>
          <w:b/>
          <w:bCs/>
          <w:sz w:val="32"/>
          <w:szCs w:val="32"/>
          <w:lang w:eastAsia="zh-CN"/>
        </w:rPr>
        <w:t>三、</w:t>
      </w:r>
      <w:r>
        <w:rPr>
          <w:rFonts w:hint="eastAsia" w:ascii="方正宋黑简体" w:hAnsi="宋体" w:eastAsia="方正宋黑简体" w:cs="黑体"/>
          <w:b/>
          <w:bCs/>
          <w:sz w:val="32"/>
          <w:szCs w:val="32"/>
        </w:rPr>
        <w:t>二轮报价表</w:t>
      </w:r>
    </w:p>
    <w:p>
      <w:pPr>
        <w:rPr>
          <w:rFonts w:hint="eastAsia" w:ascii="宋体" w:hAnsi="宋体" w:cs="宋体"/>
          <w:bCs/>
          <w:spacing w:val="20"/>
          <w:sz w:val="24"/>
          <w:szCs w:val="24"/>
        </w:rPr>
      </w:pPr>
    </w:p>
    <w:p>
      <w:pPr>
        <w:rPr>
          <w:rFonts w:hint="eastAsia" w:ascii="宋体" w:hAnsi="宋体" w:cs="宋体"/>
          <w:bCs/>
          <w:spacing w:val="20"/>
          <w:sz w:val="24"/>
          <w:szCs w:val="24"/>
        </w:rPr>
      </w:pPr>
      <w:r>
        <w:rPr>
          <w:rFonts w:hint="eastAsia" w:ascii="宋体" w:hAnsi="宋体" w:cs="宋体"/>
          <w:bCs/>
          <w:spacing w:val="20"/>
          <w:sz w:val="24"/>
          <w:szCs w:val="24"/>
        </w:rPr>
        <w:t>供应商名称:</w:t>
      </w:r>
      <w:r>
        <w:rPr>
          <w:rFonts w:hint="eastAsia" w:ascii="宋体" w:hAnsi="宋体" w:cs="宋体"/>
          <w:bCs/>
          <w:spacing w:val="20"/>
          <w:sz w:val="24"/>
          <w:szCs w:val="24"/>
          <w:u w:val="single"/>
        </w:rPr>
        <w:t xml:space="preserve">                              </w:t>
      </w:r>
    </w:p>
    <w:tbl>
      <w:tblPr>
        <w:tblStyle w:val="28"/>
        <w:tblW w:w="0" w:type="auto"/>
        <w:jc w:val="center"/>
        <w:tblLayout w:type="fixed"/>
        <w:tblCellMar>
          <w:top w:w="0" w:type="dxa"/>
          <w:left w:w="108" w:type="dxa"/>
          <w:bottom w:w="0" w:type="dxa"/>
          <w:right w:w="108" w:type="dxa"/>
        </w:tblCellMar>
      </w:tblPr>
      <w:tblGrid>
        <w:gridCol w:w="1557"/>
        <w:gridCol w:w="8235"/>
      </w:tblGrid>
      <w:tr>
        <w:tblPrEx>
          <w:tblCellMar>
            <w:top w:w="0" w:type="dxa"/>
            <w:left w:w="108" w:type="dxa"/>
            <w:bottom w:w="0" w:type="dxa"/>
            <w:right w:w="108" w:type="dxa"/>
          </w:tblCellMar>
        </w:tblPrEx>
        <w:trPr>
          <w:trHeight w:val="642"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sz w:val="24"/>
                <w:szCs w:val="24"/>
              </w:rPr>
            </w:pPr>
            <w:r>
              <w:rPr>
                <w:rFonts w:hint="eastAsia" w:ascii="宋体" w:hAnsi="宋体" w:cs="宋体"/>
                <w:b/>
                <w:bCs/>
                <w:kern w:val="0"/>
                <w:sz w:val="24"/>
                <w:szCs w:val="24"/>
              </w:rPr>
              <w:t>项目名称</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trHeight w:val="779"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项目编号</w:t>
            </w:r>
          </w:p>
        </w:tc>
        <w:tc>
          <w:tcPr>
            <w:tcW w:w="823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kern w:val="0"/>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trHeight w:val="1232"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b/>
                <w:kern w:val="0"/>
                <w:sz w:val="24"/>
                <w:szCs w:val="24"/>
              </w:rPr>
            </w:pPr>
            <w:r>
              <w:rPr>
                <w:rFonts w:hint="eastAsia" w:ascii="宋体" w:hAnsi="宋体" w:cs="宋体"/>
                <w:b/>
                <w:kern w:val="0"/>
                <w:sz w:val="24"/>
                <w:szCs w:val="24"/>
              </w:rPr>
              <w:t xml:space="preserve"> 响应报价</w:t>
            </w:r>
          </w:p>
          <w:p>
            <w:pPr>
              <w:widowControl/>
              <w:rPr>
                <w:rFonts w:ascii="宋体" w:hAnsi="宋体" w:cs="宋体"/>
                <w:kern w:val="0"/>
                <w:sz w:val="24"/>
                <w:szCs w:val="24"/>
              </w:rPr>
            </w:pP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p>
            <w:pPr>
              <w:spacing w:line="360" w:lineRule="auto"/>
              <w:rPr>
                <w:rFonts w:ascii="宋体" w:hAnsi="宋体" w:cs="宋体"/>
                <w:spacing w:val="20"/>
                <w:sz w:val="24"/>
                <w:szCs w:val="24"/>
              </w:rPr>
            </w:pPr>
            <w:r>
              <w:rPr>
                <w:rFonts w:hint="eastAsia" w:ascii="宋体" w:hAnsi="宋体" w:cs="宋体"/>
                <w:spacing w:val="20"/>
                <w:sz w:val="24"/>
                <w:szCs w:val="24"/>
              </w:rPr>
              <w:t>小写:             (元)</w:t>
            </w:r>
          </w:p>
          <w:p>
            <w:pPr>
              <w:spacing w:line="360" w:lineRule="auto"/>
              <w:rPr>
                <w:rFonts w:hint="eastAsia" w:ascii="宋体" w:hAnsi="宋体" w:cs="宋体"/>
                <w:spacing w:val="20"/>
                <w:sz w:val="24"/>
                <w:szCs w:val="24"/>
              </w:rPr>
            </w:pPr>
          </w:p>
          <w:p>
            <w:pPr>
              <w:spacing w:line="360" w:lineRule="auto"/>
              <w:rPr>
                <w:rFonts w:hint="eastAsia" w:ascii="宋体" w:hAnsi="宋体" w:cs="宋体"/>
                <w:spacing w:val="20"/>
                <w:sz w:val="24"/>
                <w:szCs w:val="24"/>
                <w:u w:val="single"/>
              </w:rPr>
            </w:pPr>
            <w:r>
              <w:rPr>
                <w:rFonts w:hint="eastAsia" w:ascii="宋体" w:hAnsi="宋体" w:cs="宋体"/>
                <w:spacing w:val="20"/>
                <w:sz w:val="24"/>
                <w:szCs w:val="24"/>
              </w:rPr>
              <w:t>大写:</w:t>
            </w:r>
          </w:p>
          <w:p>
            <w:pPr>
              <w:ind w:left="2703"/>
              <w:rPr>
                <w:rFonts w:ascii="宋体" w:hAnsi="宋体" w:cs="宋体"/>
                <w:kern w:val="0"/>
                <w:sz w:val="24"/>
                <w:szCs w:val="24"/>
              </w:rPr>
            </w:pP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lang w:eastAsia="zh-CN"/>
              </w:rPr>
              <w:t>质保期</w:t>
            </w:r>
            <w:r>
              <w:rPr>
                <w:rFonts w:hint="eastAsia" w:ascii="宋体" w:hAnsi="宋体" w:cs="宋体"/>
                <w:b/>
                <w:kern w:val="0"/>
                <w:sz w:val="24"/>
                <w:szCs w:val="24"/>
              </w:rPr>
              <w:t xml:space="preserve"> </w:t>
            </w:r>
          </w:p>
        </w:tc>
        <w:tc>
          <w:tcPr>
            <w:tcW w:w="82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 w:val="24"/>
                <w:szCs w:val="24"/>
              </w:rPr>
            </w:pPr>
          </w:p>
        </w:tc>
      </w:tr>
    </w:tbl>
    <w:p>
      <w:pPr>
        <w:spacing w:line="360" w:lineRule="auto"/>
        <w:ind w:firstLine="240" w:firstLineChars="100"/>
        <w:textAlignment w:val="baseline"/>
        <w:rPr>
          <w:rFonts w:ascii="宋体"/>
          <w:sz w:val="24"/>
          <w:szCs w:val="24"/>
        </w:rPr>
      </w:pPr>
      <w:r>
        <w:rPr>
          <w:rFonts w:hint="eastAsia" w:ascii="宋体"/>
          <w:sz w:val="24"/>
          <w:szCs w:val="24"/>
        </w:rPr>
        <w:t>备注：</w:t>
      </w:r>
      <w:r>
        <w:rPr>
          <w:rFonts w:ascii="宋体" w:hAnsi="宋体"/>
          <w:sz w:val="24"/>
          <w:szCs w:val="24"/>
        </w:rPr>
        <w:t>1</w:t>
      </w:r>
      <w:r>
        <w:rPr>
          <w:rFonts w:hint="eastAsia" w:ascii="宋体" w:hAnsi="宋体"/>
          <w:sz w:val="24"/>
          <w:szCs w:val="24"/>
        </w:rPr>
        <w:t>、上述日期均以日历天为单位，包括法定节假日。</w:t>
      </w:r>
    </w:p>
    <w:p>
      <w:pPr>
        <w:spacing w:line="360" w:lineRule="auto"/>
        <w:ind w:firstLine="240" w:firstLineChars="100"/>
        <w:textAlignment w:val="baseline"/>
        <w:rPr>
          <w:rFonts w:ascii="宋体"/>
          <w:sz w:val="24"/>
          <w:szCs w:val="24"/>
        </w:rPr>
      </w:pPr>
      <w:r>
        <w:rPr>
          <w:rFonts w:ascii="宋体" w:hAnsi="宋体"/>
          <w:sz w:val="24"/>
          <w:szCs w:val="24"/>
        </w:rPr>
        <w:t xml:space="preserve">  </w:t>
      </w:r>
      <w:r>
        <w:rPr>
          <w:rFonts w:hint="eastAsia" w:ascii="宋体" w:hAnsi="宋体"/>
          <w:sz w:val="24"/>
          <w:szCs w:val="24"/>
        </w:rPr>
        <w:t>2、对含糊不清或不确定的报价将视为无效报价。</w:t>
      </w:r>
    </w:p>
    <w:p>
      <w:pPr>
        <w:spacing w:line="360" w:lineRule="auto"/>
        <w:ind w:firstLine="240" w:firstLineChars="100"/>
        <w:textAlignment w:val="baseline"/>
        <w:rPr>
          <w:rFonts w:ascii="宋体"/>
          <w:sz w:val="24"/>
          <w:szCs w:val="24"/>
        </w:rPr>
      </w:pPr>
      <w:r>
        <w:rPr>
          <w:rFonts w:ascii="宋体" w:hAnsi="宋体"/>
          <w:sz w:val="24"/>
          <w:szCs w:val="24"/>
        </w:rPr>
        <w:t xml:space="preserve">  </w:t>
      </w:r>
      <w:r>
        <w:rPr>
          <w:rFonts w:hint="eastAsia" w:ascii="宋体" w:hAnsi="宋体"/>
          <w:sz w:val="24"/>
          <w:szCs w:val="24"/>
        </w:rPr>
        <w:t>3、在报价表内未有明确列述的项目费用应视为包括在总报价之内。</w:t>
      </w:r>
    </w:p>
    <w:p>
      <w:pPr>
        <w:spacing w:line="360" w:lineRule="auto"/>
        <w:ind w:firstLine="240" w:firstLineChars="100"/>
        <w:textAlignment w:val="baseline"/>
        <w:rPr>
          <w:rFonts w:hint="eastAsia" w:ascii="宋体" w:hAnsi="宋体"/>
          <w:sz w:val="24"/>
          <w:szCs w:val="24"/>
        </w:rPr>
      </w:pPr>
      <w:r>
        <w:rPr>
          <w:rFonts w:ascii="宋体" w:hAnsi="宋体"/>
          <w:sz w:val="24"/>
          <w:szCs w:val="24"/>
        </w:rPr>
        <w:t xml:space="preserve">  </w:t>
      </w:r>
      <w:r>
        <w:rPr>
          <w:rFonts w:hint="eastAsia" w:ascii="宋体" w:hAnsi="宋体"/>
          <w:sz w:val="24"/>
          <w:szCs w:val="24"/>
        </w:rPr>
        <w:t>4、响应价格为固定不变价。在合同期内，该价格不因市场价格的变动而发生变动。</w:t>
      </w:r>
    </w:p>
    <w:p>
      <w:pPr>
        <w:spacing w:line="360" w:lineRule="auto"/>
        <w:ind w:firstLine="562" w:firstLineChars="200"/>
        <w:textAlignment w:val="baseline"/>
        <w:rPr>
          <w:rFonts w:ascii="宋体"/>
          <w:b/>
          <w:bCs/>
          <w:sz w:val="28"/>
          <w:szCs w:val="28"/>
        </w:rPr>
      </w:pPr>
      <w:r>
        <w:rPr>
          <w:rFonts w:hint="eastAsia" w:ascii="宋体" w:hAnsi="宋体"/>
          <w:b/>
          <w:bCs/>
          <w:sz w:val="28"/>
          <w:szCs w:val="28"/>
        </w:rPr>
        <w:t>5、本表用于多轮报价，另多备几份手持。</w:t>
      </w:r>
    </w:p>
    <w:p>
      <w:pPr>
        <w:spacing w:line="360" w:lineRule="auto"/>
        <w:ind w:firstLine="560" w:firstLineChars="200"/>
        <w:rPr>
          <w:rFonts w:hint="eastAsia" w:ascii="宋体" w:hAnsi="宋体" w:cs="宋体"/>
          <w:spacing w:val="20"/>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jc w:val="right"/>
        <w:rPr>
          <w:rFonts w:hint="eastAsia" w:ascii="宋体" w:hAnsi="宋体" w:cs="宋体"/>
          <w:spacing w:val="20"/>
          <w:sz w:val="24"/>
          <w:szCs w:val="24"/>
        </w:rPr>
      </w:pPr>
      <w:r>
        <w:rPr>
          <w:rFonts w:hint="eastAsia" w:ascii="宋体" w:hAnsi="宋体" w:cs="宋体"/>
          <w:spacing w:val="20"/>
          <w:sz w:val="24"/>
          <w:szCs w:val="24"/>
          <w:u w:val="single"/>
        </w:rPr>
        <w:t xml:space="preserve">     </w:t>
      </w:r>
      <w:r>
        <w:rPr>
          <w:rFonts w:hint="eastAsia" w:ascii="宋体" w:hAnsi="宋体" w:cs="宋体"/>
          <w:spacing w:val="20"/>
          <w:sz w:val="24"/>
          <w:szCs w:val="24"/>
        </w:rPr>
        <w:t>年</w:t>
      </w:r>
      <w:r>
        <w:rPr>
          <w:rFonts w:hint="eastAsia" w:ascii="宋体" w:hAnsi="宋体" w:cs="宋体"/>
          <w:spacing w:val="20"/>
          <w:sz w:val="24"/>
          <w:szCs w:val="24"/>
          <w:u w:val="single"/>
        </w:rPr>
        <w:t xml:space="preserve">    </w:t>
      </w:r>
      <w:r>
        <w:rPr>
          <w:rFonts w:hint="eastAsia" w:ascii="宋体" w:hAnsi="宋体" w:cs="宋体"/>
          <w:spacing w:val="20"/>
          <w:sz w:val="24"/>
          <w:szCs w:val="24"/>
        </w:rPr>
        <w:t>月</w:t>
      </w:r>
      <w:r>
        <w:rPr>
          <w:rFonts w:hint="eastAsia" w:ascii="宋体" w:hAnsi="宋体" w:cs="宋体"/>
          <w:spacing w:val="20"/>
          <w:sz w:val="24"/>
          <w:szCs w:val="24"/>
          <w:u w:val="single"/>
        </w:rPr>
        <w:t xml:space="preserve">  </w:t>
      </w:r>
      <w:r>
        <w:rPr>
          <w:rFonts w:hint="eastAsia" w:ascii="宋体" w:hAnsi="宋体" w:cs="宋体"/>
          <w:spacing w:val="20"/>
          <w:sz w:val="24"/>
          <w:szCs w:val="24"/>
        </w:rPr>
        <w:t>日</w:t>
      </w:r>
    </w:p>
    <w:p>
      <w:pPr>
        <w:pStyle w:val="63"/>
        <w:spacing w:line="360" w:lineRule="auto"/>
        <w:jc w:val="left"/>
        <w:rPr>
          <w:rFonts w:hint="eastAsia" w:ascii="宋体" w:hAnsi="宋体" w:cs="宋体"/>
          <w:b/>
          <w:bCs/>
          <w:sz w:val="24"/>
          <w:szCs w:val="24"/>
        </w:rPr>
      </w:pPr>
    </w:p>
    <w:p>
      <w:pPr>
        <w:pStyle w:val="63"/>
        <w:spacing w:line="360" w:lineRule="auto"/>
        <w:jc w:val="left"/>
        <w:rPr>
          <w:rFonts w:hint="eastAsia" w:ascii="宋体" w:hAnsi="宋体" w:cs="宋体"/>
          <w:b/>
          <w:bCs/>
          <w:sz w:val="24"/>
          <w:szCs w:val="24"/>
        </w:rPr>
      </w:pPr>
    </w:p>
    <w:p>
      <w:pPr>
        <w:pStyle w:val="63"/>
        <w:spacing w:line="360" w:lineRule="auto"/>
        <w:jc w:val="left"/>
        <w:rPr>
          <w:rFonts w:hint="eastAsia" w:ascii="宋体" w:hAnsi="宋体" w:cs="宋体"/>
          <w:b/>
          <w:bCs/>
          <w:sz w:val="24"/>
          <w:szCs w:val="24"/>
        </w:rPr>
      </w:pPr>
    </w:p>
    <w:p>
      <w:pPr>
        <w:pStyle w:val="63"/>
        <w:spacing w:line="360" w:lineRule="auto"/>
        <w:jc w:val="left"/>
        <w:rPr>
          <w:rFonts w:hint="eastAsia" w:ascii="宋体" w:hAnsi="宋体" w:cs="宋体"/>
          <w:b/>
          <w:bCs/>
          <w:sz w:val="24"/>
          <w:szCs w:val="24"/>
        </w:rPr>
      </w:pPr>
    </w:p>
    <w:p>
      <w:pPr>
        <w:pStyle w:val="63"/>
        <w:spacing w:line="360" w:lineRule="auto"/>
        <w:jc w:val="left"/>
        <w:rPr>
          <w:rFonts w:hint="eastAsia" w:ascii="宋体" w:hAnsi="宋体" w:cs="宋体"/>
          <w:b/>
          <w:bCs/>
          <w:sz w:val="24"/>
          <w:szCs w:val="24"/>
        </w:rPr>
      </w:pPr>
    </w:p>
    <w:p>
      <w:pPr>
        <w:tabs>
          <w:tab w:val="left" w:pos="630"/>
        </w:tabs>
        <w:jc w:val="center"/>
        <w:rPr>
          <w:rFonts w:hint="eastAsia" w:ascii="仿宋" w:hAnsi="仿宋" w:eastAsia="仿宋" w:cs="Arial"/>
          <w:sz w:val="24"/>
          <w:szCs w:val="24"/>
          <w:lang w:eastAsia="zh-CN"/>
        </w:rPr>
      </w:pPr>
    </w:p>
    <w:p>
      <w:pPr>
        <w:tabs>
          <w:tab w:val="left" w:pos="630"/>
        </w:tabs>
        <w:jc w:val="center"/>
        <w:rPr>
          <w:rFonts w:ascii="仿宋" w:hAnsi="仿宋" w:eastAsia="仿宋" w:cs="Arial"/>
          <w:sz w:val="24"/>
          <w:szCs w:val="24"/>
        </w:rPr>
      </w:pPr>
    </w:p>
    <w:p>
      <w:pPr>
        <w:tabs>
          <w:tab w:val="left" w:pos="630"/>
        </w:tabs>
        <w:jc w:val="center"/>
        <w:rPr>
          <w:rFonts w:ascii="仿宋" w:hAnsi="仿宋" w:eastAsia="仿宋" w:cs="Arial"/>
          <w:sz w:val="24"/>
          <w:szCs w:val="24"/>
        </w:rPr>
      </w:pPr>
    </w:p>
    <w:p>
      <w:pPr>
        <w:tabs>
          <w:tab w:val="left" w:pos="630"/>
        </w:tabs>
        <w:jc w:val="center"/>
        <w:rPr>
          <w:rFonts w:ascii="仿宋" w:hAnsi="仿宋" w:eastAsia="仿宋" w:cs="Arial"/>
          <w:sz w:val="24"/>
          <w:szCs w:val="24"/>
        </w:rPr>
      </w:pPr>
    </w:p>
    <w:p>
      <w:pPr>
        <w:tabs>
          <w:tab w:val="left" w:pos="630"/>
        </w:tabs>
        <w:jc w:val="center"/>
        <w:rPr>
          <w:rFonts w:hint="eastAsia" w:ascii="仿宋" w:hAnsi="仿宋" w:eastAsia="仿宋" w:cs="Arial"/>
          <w:sz w:val="30"/>
          <w:szCs w:val="30"/>
        </w:rPr>
      </w:pPr>
      <w:r>
        <w:rPr>
          <w:rFonts w:hint="eastAsia" w:ascii="方正宋黑简体" w:hAnsi="宋体" w:eastAsia="方正宋黑简体" w:cs="黑体"/>
          <w:b/>
          <w:bCs/>
          <w:sz w:val="30"/>
          <w:szCs w:val="30"/>
          <w:lang w:eastAsia="zh-CN"/>
        </w:rPr>
        <w:t>四</w:t>
      </w:r>
      <w:r>
        <w:rPr>
          <w:rFonts w:hint="eastAsia" w:ascii="方正宋黑简体" w:hAnsi="宋体" w:eastAsia="方正宋黑简体" w:cs="黑体"/>
          <w:b/>
          <w:bCs/>
          <w:sz w:val="30"/>
          <w:szCs w:val="30"/>
        </w:rPr>
        <w:t>、投标人诚信承诺书</w:t>
      </w:r>
      <w:bookmarkEnd w:id="128"/>
    </w:p>
    <w:p>
      <w:pPr>
        <w:autoSpaceDE w:val="0"/>
        <w:autoSpaceDN w:val="0"/>
        <w:adjustRightInd w:val="0"/>
        <w:spacing w:line="360" w:lineRule="exact"/>
        <w:jc w:val="left"/>
        <w:rPr>
          <w:rFonts w:hint="eastAsia" w:ascii="宋体" w:hAnsi="宋体"/>
          <w:color w:val="000000"/>
          <w:sz w:val="28"/>
          <w:szCs w:val="28"/>
        </w:rPr>
      </w:pPr>
      <w:bookmarkStart w:id="129" w:name="_Toc466549696"/>
      <w:r>
        <w:rPr>
          <w:rFonts w:hint="eastAsia" w:ascii="宋体" w:hAnsi="宋体"/>
          <w:color w:val="000000"/>
          <w:sz w:val="28"/>
          <w:szCs w:val="28"/>
        </w:rPr>
        <w:t>我单位参加本次采购活动，郑重承诺如下：</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2"/>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63"/>
        <w:spacing w:line="360" w:lineRule="exact"/>
        <w:rPr>
          <w:rFonts w:hint="eastAsia" w:ascii="宋体" w:hAnsi="宋体"/>
          <w:color w:val="000000"/>
          <w:kern w:val="2"/>
          <w:sz w:val="28"/>
          <w:szCs w:val="28"/>
        </w:rPr>
      </w:pPr>
    </w:p>
    <w:p>
      <w:pPr>
        <w:pStyle w:val="63"/>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lang w:eastAsia="zh-CN"/>
        </w:rPr>
        <w:t>五</w:t>
      </w:r>
      <w:r>
        <w:rPr>
          <w:rFonts w:hint="eastAsia" w:ascii="方正宋黑简体" w:hAnsi="宋体" w:eastAsia="方正宋黑简体" w:cs="黑体"/>
          <w:b/>
          <w:bCs/>
          <w:sz w:val="32"/>
          <w:szCs w:val="32"/>
        </w:rPr>
        <w:t>、货物报价明细表</w:t>
      </w:r>
      <w:bookmarkEnd w:id="129"/>
    </w:p>
    <w:p>
      <w:pPr>
        <w:rPr>
          <w:rFonts w:hint="eastAsia" w:ascii="宋体" w:hAnsi="宋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r>
              <w:rPr>
                <w:rFonts w:hint="eastAsia" w:ascii="微软雅黑" w:hAnsi="微软雅黑" w:eastAsia="微软雅黑"/>
                <w:sz w:val="24"/>
                <w:szCs w:val="24"/>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30" w:name="_Toc516240286"/>
      <w:bookmarkStart w:id="131" w:name="_Toc516240339"/>
      <w:bookmarkStart w:id="132" w:name="_Toc466549697"/>
      <w:bookmarkStart w:id="133" w:name="_Toc466549698"/>
      <w:r>
        <w:rPr>
          <w:rFonts w:hint="eastAsia" w:ascii="方正宋黑简体" w:hAnsi="宋体" w:eastAsia="方正宋黑简体" w:cs="黑体"/>
          <w:b/>
          <w:bCs/>
          <w:sz w:val="32"/>
          <w:szCs w:val="32"/>
          <w:lang w:val="en-US" w:eastAsia="zh-CN"/>
        </w:rPr>
        <w:t>六</w:t>
      </w:r>
      <w:r>
        <w:rPr>
          <w:rFonts w:hint="eastAsia" w:ascii="方正宋黑简体" w:hAnsi="宋体" w:eastAsia="方正宋黑简体" w:cs="黑体"/>
          <w:b/>
          <w:bCs/>
          <w:sz w:val="32"/>
          <w:szCs w:val="32"/>
        </w:rPr>
        <w:t>、响应表</w:t>
      </w:r>
      <w:bookmarkEnd w:id="130"/>
      <w:bookmarkEnd w:id="131"/>
      <w:bookmarkEnd w:id="132"/>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6.1商务响应表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竞谈文件要求</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default"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r>
              <w:rPr>
                <w:rFonts w:hint="eastAsia" w:ascii="宋体" w:hAnsi="宋体" w:cs="宋体"/>
                <w:sz w:val="21"/>
                <w:szCs w:val="21"/>
                <w:lang w:val="en-US" w:eastAsia="zh-CN"/>
              </w:rPr>
              <w:t>北校区</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70"/>
              <w:tabs>
                <w:tab w:val="left" w:pos="3063"/>
              </w:tabs>
              <w:spacing w:line="360" w:lineRule="auto"/>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2"/>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质保期</w:t>
            </w:r>
          </w:p>
        </w:tc>
        <w:tc>
          <w:tcPr>
            <w:tcW w:w="4228" w:type="dxa"/>
            <w:noWrap w:val="0"/>
            <w:vAlign w:val="center"/>
          </w:tcPr>
          <w:p>
            <w:pPr>
              <w:pStyle w:val="70"/>
              <w:tabs>
                <w:tab w:val="left" w:pos="3544"/>
              </w:tabs>
              <w:spacing w:line="360" w:lineRule="auto"/>
              <w:rPr>
                <w:rFonts w:hint="default"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3年</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p>
        </w:tc>
      </w:tr>
    </w:tbl>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6.2技术响应表 </w:t>
      </w:r>
    </w:p>
    <w:tbl>
      <w:tblPr>
        <w:tblStyle w:val="28"/>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竞谈文件要求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60" w:type="dxa"/>
            <w:noWrap w:val="0"/>
            <w:vAlign w:val="center"/>
          </w:tcPr>
          <w:p>
            <w:pPr>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sz w:val="21"/>
                <w:szCs w:val="21"/>
                <w:lang w:eastAsia="zh-CN"/>
              </w:rPr>
              <w:t>遮光布</w:t>
            </w:r>
          </w:p>
        </w:tc>
        <w:tc>
          <w:tcPr>
            <w:tcW w:w="2340" w:type="dxa"/>
            <w:noWrap w:val="0"/>
            <w:vAlign w:val="center"/>
          </w:tcPr>
          <w:p>
            <w:pPr>
              <w:jc w:val="cente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center"/>
          </w:tcPr>
          <w:p>
            <w:pPr>
              <w:jc w:val="center"/>
              <w:rPr>
                <w:rFonts w:ascii="仿宋" w:hAnsi="仿宋" w:eastAsia="仿宋" w:cs="Arial"/>
                <w:sz w:val="30"/>
                <w:szCs w:val="30"/>
              </w:rPr>
            </w:pPr>
          </w:p>
        </w:tc>
        <w:tc>
          <w:tcPr>
            <w:tcW w:w="732" w:type="dxa"/>
            <w:noWrap w:val="0"/>
            <w:vAlign w:val="center"/>
          </w:tcPr>
          <w:p>
            <w:pPr>
              <w:jc w:val="cente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60" w:type="dxa"/>
            <w:noWrap w:val="0"/>
            <w:vAlign w:val="center"/>
          </w:tcPr>
          <w:p>
            <w:pPr>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sz w:val="21"/>
                <w:szCs w:val="21"/>
                <w:lang w:eastAsia="zh-CN"/>
              </w:rPr>
              <w:t>椅套</w:t>
            </w:r>
          </w:p>
        </w:tc>
        <w:tc>
          <w:tcPr>
            <w:tcW w:w="2340" w:type="dxa"/>
            <w:noWrap w:val="0"/>
            <w:vAlign w:val="center"/>
          </w:tcPr>
          <w:p>
            <w:pPr>
              <w:jc w:val="cente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center"/>
          </w:tcPr>
          <w:p>
            <w:pPr>
              <w:jc w:val="center"/>
              <w:rPr>
                <w:rFonts w:ascii="仿宋" w:hAnsi="仿宋" w:eastAsia="仿宋" w:cs="Arial"/>
                <w:sz w:val="30"/>
                <w:szCs w:val="30"/>
              </w:rPr>
            </w:pPr>
          </w:p>
        </w:tc>
        <w:tc>
          <w:tcPr>
            <w:tcW w:w="732" w:type="dxa"/>
            <w:noWrap w:val="0"/>
            <w:vAlign w:val="center"/>
          </w:tcPr>
          <w:p>
            <w:pPr>
              <w:jc w:val="cente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60" w:type="dxa"/>
            <w:noWrap w:val="0"/>
            <w:vAlign w:val="center"/>
          </w:tcPr>
          <w:p>
            <w:pPr>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sz w:val="21"/>
                <w:szCs w:val="21"/>
                <w:lang w:val="en-US" w:eastAsia="zh-CN"/>
              </w:rPr>
              <w:t>桌套</w:t>
            </w:r>
          </w:p>
        </w:tc>
        <w:tc>
          <w:tcPr>
            <w:tcW w:w="2340" w:type="dxa"/>
            <w:noWrap w:val="0"/>
            <w:vAlign w:val="center"/>
          </w:tcPr>
          <w:p>
            <w:pPr>
              <w:jc w:val="cente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center"/>
          </w:tcPr>
          <w:p>
            <w:pPr>
              <w:jc w:val="center"/>
              <w:rPr>
                <w:rFonts w:ascii="仿宋" w:hAnsi="仿宋" w:eastAsia="仿宋" w:cs="Arial"/>
                <w:sz w:val="30"/>
                <w:szCs w:val="30"/>
              </w:rPr>
            </w:pPr>
          </w:p>
        </w:tc>
        <w:tc>
          <w:tcPr>
            <w:tcW w:w="732" w:type="dxa"/>
            <w:noWrap w:val="0"/>
            <w:vAlign w:val="center"/>
          </w:tcPr>
          <w:p>
            <w:pPr>
              <w:jc w:val="center"/>
              <w:rPr>
                <w:rFonts w:ascii="仿宋" w:hAnsi="仿宋" w:eastAsia="仿宋" w:cs="Arial"/>
                <w:sz w:val="30"/>
                <w:szCs w:val="30"/>
              </w:rPr>
            </w:pPr>
          </w:p>
        </w:tc>
        <w:tc>
          <w:tcPr>
            <w:tcW w:w="900" w:type="dxa"/>
            <w:noWrap w:val="0"/>
            <w:vAlign w:val="center"/>
          </w:tcPr>
          <w:p>
            <w:pPr>
              <w:jc w:val="cente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w:t>
      </w: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eastAsia="zh-CN"/>
        </w:rPr>
        <w:t>七</w:t>
      </w:r>
      <w:r>
        <w:rPr>
          <w:rFonts w:hint="eastAsia" w:ascii="方正宋黑简体" w:hAnsi="宋体" w:eastAsia="方正宋黑简体" w:cs="黑体"/>
          <w:b/>
          <w:bCs/>
          <w:sz w:val="36"/>
          <w:szCs w:val="36"/>
        </w:rPr>
        <w:t>、资格证明等材料</w:t>
      </w:r>
      <w:bookmarkEnd w:id="133"/>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rPr>
      </w:pPr>
    </w:p>
    <w:p>
      <w:pPr>
        <w:pStyle w:val="27"/>
        <w:numPr>
          <w:ilvl w:val="0"/>
          <w:numId w:val="0"/>
        </w:numPr>
        <w:ind w:firstLine="1440" w:firstLineChars="400"/>
        <w:jc w:val="both"/>
        <w:rPr>
          <w:rFonts w:hint="eastAsia" w:eastAsia="宋体"/>
        </w:rPr>
        <w:sectPr>
          <w:headerReference r:id="rId9" w:type="default"/>
          <w:footerReference r:id="rId10" w:type="default"/>
          <w:pgSz w:w="11906" w:h="16838"/>
          <w:pgMar w:top="1440" w:right="1797" w:bottom="1440" w:left="1797" w:header="851" w:footer="592" w:gutter="0"/>
          <w:cols w:space="720" w:num="1"/>
          <w:docGrid w:type="lines" w:linePitch="312" w:charSpace="0"/>
        </w:sectPr>
      </w:pPr>
      <w:r>
        <w:rPr>
          <w:rFonts w:hint="eastAsia" w:ascii="黑体" w:hAnsi="黑体" w:eastAsia="黑体" w:cs="黑体"/>
          <w:color w:val="000000"/>
          <w:sz w:val="36"/>
          <w:szCs w:val="36"/>
          <w:lang w:eastAsia="zh-CN"/>
        </w:rPr>
        <w:t>八、</w:t>
      </w:r>
      <w:r>
        <w:rPr>
          <w:rFonts w:hint="eastAsia" w:ascii="黑体" w:hAnsi="黑体" w:eastAsia="黑体" w:cs="黑体"/>
          <w:color w:val="000000"/>
          <w:sz w:val="36"/>
          <w:szCs w:val="36"/>
        </w:rPr>
        <w:t>供应商认为需要补充的其他</w:t>
      </w:r>
    </w:p>
    <w:p>
      <w:pPr>
        <w:jc w:val="left"/>
        <w:rPr>
          <w:rFonts w:ascii="宋体"/>
        </w:rPr>
      </w:pPr>
    </w:p>
    <w:sectPr>
      <w:footerReference r:id="rId11" w:type="default"/>
      <w:pgSz w:w="11906" w:h="16838"/>
      <w:pgMar w:top="1440" w:right="1797" w:bottom="1440" w:left="1797" w:header="851" w:footer="5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
    <w:altName w:val="宋体"/>
    <w:panose1 w:val="00000000000000000000"/>
    <w:charset w:val="81"/>
    <w:family w:val="roman"/>
    <w:pitch w:val="default"/>
    <w:sig w:usb0="00000000" w:usb1="00000000" w:usb2="00000010" w:usb3="00000000" w:csb0="00080000"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r>
      <w:rPr>
        <w:rFonts w:hint="eastAsia" w:ascii="宋体" w:hAnsi="宋体" w:cs="宋体"/>
      </w:rPr>
      <w:t xml:space="preserve">  </w: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7"/>
                            <w:rPr>
                              <w:rFonts w:hint="eastAsia"/>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pPr>
                      <w:pStyle w:val="17"/>
                      <w:rPr>
                        <w:rFonts w:hint="eastAsia"/>
                      </w:rPr>
                    </w:pPr>
                  </w:p>
                </w:txbxContent>
              </v:textbox>
            </v:shape>
          </w:pict>
        </mc:Fallback>
      </mc:AlternateContent>
    </w:r>
    <w:r>
      <w:rPr>
        <w:rFonts w:hint="eastAsia" w:ascii="宋体" w:hAnsi="宋体" w:cs="宋体"/>
      </w:rPr>
      <w:t xml:space="preserve">  </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left" w:pos="8230"/>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pPr>
                            <w:snapToGrid w:val="0"/>
                            <w:rPr>
                              <w:sz w:val="18"/>
                              <w:szCs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XcYXXSAAAAAwEAAA8AAAAAAAAAAQAgAAAA&#10;IgAAAGRycy9kb3ducmV2LnhtbFBLAQIUABQAAAAIAIdO4kA7LrYL2AEAAKMDAAAOAAAAAAAAAAEA&#10;IAAAACEBAABkcnMvZTJvRG9jLnhtbFBLBQYAAAAABgAGAFkBAABrBQAAAAA=&#10;">
              <v:fill on="f" focussize="0,0"/>
              <v:stroke on="f" weight="0.5pt"/>
              <v:imagedata o:title=""/>
              <o:lock v:ext="edit" aspectratio="f"/>
              <v:textbox inset="0mm,0mm,0mm,0mm" style="mso-fit-shape-to-text:t;">
                <w:txbxContent>
                  <w:p>
                    <w:pPr>
                      <w:snapToGrid w:val="0"/>
                      <w:rPr>
                        <w:sz w:val="18"/>
                        <w:szCs w:val="18"/>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4716A"/>
    <w:multiLevelType w:val="singleLevel"/>
    <w:tmpl w:val="AD24716A"/>
    <w:lvl w:ilvl="0" w:tentative="0">
      <w:start w:val="1"/>
      <w:numFmt w:val="decimal"/>
      <w:lvlText w:val="%1."/>
      <w:lvlJc w:val="left"/>
      <w:pPr>
        <w:tabs>
          <w:tab w:val="left" w:pos="312"/>
        </w:tabs>
      </w:pPr>
    </w:lvl>
  </w:abstractNum>
  <w:abstractNum w:abstractNumId="1">
    <w:nsid w:val="71E28A34"/>
    <w:multiLevelType w:val="singleLevel"/>
    <w:tmpl w:val="71E28A3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172A27"/>
    <w:rsid w:val="00011104"/>
    <w:rsid w:val="000141F1"/>
    <w:rsid w:val="00020CB3"/>
    <w:rsid w:val="000248A6"/>
    <w:rsid w:val="000411FA"/>
    <w:rsid w:val="00056FFA"/>
    <w:rsid w:val="00062E92"/>
    <w:rsid w:val="0006301D"/>
    <w:rsid w:val="000655E8"/>
    <w:rsid w:val="00067BA5"/>
    <w:rsid w:val="00075D59"/>
    <w:rsid w:val="0008561D"/>
    <w:rsid w:val="000908CB"/>
    <w:rsid w:val="00095B06"/>
    <w:rsid w:val="000A2288"/>
    <w:rsid w:val="000B7B07"/>
    <w:rsid w:val="000C0982"/>
    <w:rsid w:val="000C455A"/>
    <w:rsid w:val="000C7548"/>
    <w:rsid w:val="000D6CDB"/>
    <w:rsid w:val="000E61F4"/>
    <w:rsid w:val="000E7BD5"/>
    <w:rsid w:val="000F1003"/>
    <w:rsid w:val="001000D7"/>
    <w:rsid w:val="001067B5"/>
    <w:rsid w:val="00114CF8"/>
    <w:rsid w:val="001211D8"/>
    <w:rsid w:val="0012312B"/>
    <w:rsid w:val="0012629B"/>
    <w:rsid w:val="00142D5F"/>
    <w:rsid w:val="001513C5"/>
    <w:rsid w:val="00155FB2"/>
    <w:rsid w:val="0016030F"/>
    <w:rsid w:val="001603BE"/>
    <w:rsid w:val="00176AAB"/>
    <w:rsid w:val="0017770A"/>
    <w:rsid w:val="00184C80"/>
    <w:rsid w:val="0019298F"/>
    <w:rsid w:val="00196378"/>
    <w:rsid w:val="001A19E3"/>
    <w:rsid w:val="001A36A2"/>
    <w:rsid w:val="001B0FFD"/>
    <w:rsid w:val="001B20C7"/>
    <w:rsid w:val="001C1A5F"/>
    <w:rsid w:val="001C1C9C"/>
    <w:rsid w:val="001D064B"/>
    <w:rsid w:val="001D2C61"/>
    <w:rsid w:val="001D2C8F"/>
    <w:rsid w:val="001E5D08"/>
    <w:rsid w:val="001F09F2"/>
    <w:rsid w:val="001F0BEA"/>
    <w:rsid w:val="001F20EA"/>
    <w:rsid w:val="001F7BEA"/>
    <w:rsid w:val="00214CFA"/>
    <w:rsid w:val="002154B8"/>
    <w:rsid w:val="002273E9"/>
    <w:rsid w:val="00232277"/>
    <w:rsid w:val="0023642E"/>
    <w:rsid w:val="00244FAE"/>
    <w:rsid w:val="00247A7A"/>
    <w:rsid w:val="00251F65"/>
    <w:rsid w:val="00264A1B"/>
    <w:rsid w:val="0027338A"/>
    <w:rsid w:val="00276C58"/>
    <w:rsid w:val="002968EB"/>
    <w:rsid w:val="002A395C"/>
    <w:rsid w:val="002A63DC"/>
    <w:rsid w:val="002B78F9"/>
    <w:rsid w:val="002C73DD"/>
    <w:rsid w:val="002C7594"/>
    <w:rsid w:val="002D289F"/>
    <w:rsid w:val="002D4F77"/>
    <w:rsid w:val="002D69A8"/>
    <w:rsid w:val="002E099C"/>
    <w:rsid w:val="002E3AAF"/>
    <w:rsid w:val="00331091"/>
    <w:rsid w:val="00335D47"/>
    <w:rsid w:val="00345B15"/>
    <w:rsid w:val="003553B1"/>
    <w:rsid w:val="0036158D"/>
    <w:rsid w:val="003765B5"/>
    <w:rsid w:val="00384070"/>
    <w:rsid w:val="003848AF"/>
    <w:rsid w:val="00392B8C"/>
    <w:rsid w:val="00392DB9"/>
    <w:rsid w:val="003A3D86"/>
    <w:rsid w:val="003A612D"/>
    <w:rsid w:val="003C2FDB"/>
    <w:rsid w:val="003D2919"/>
    <w:rsid w:val="003E1D6A"/>
    <w:rsid w:val="003E6484"/>
    <w:rsid w:val="004027E2"/>
    <w:rsid w:val="00411082"/>
    <w:rsid w:val="00412752"/>
    <w:rsid w:val="00420E78"/>
    <w:rsid w:val="00427BAB"/>
    <w:rsid w:val="004324E8"/>
    <w:rsid w:val="00435BBA"/>
    <w:rsid w:val="00441AC9"/>
    <w:rsid w:val="00443D8E"/>
    <w:rsid w:val="00453DEB"/>
    <w:rsid w:val="00463D6C"/>
    <w:rsid w:val="00473449"/>
    <w:rsid w:val="00474887"/>
    <w:rsid w:val="00477D26"/>
    <w:rsid w:val="0049163A"/>
    <w:rsid w:val="00494F97"/>
    <w:rsid w:val="00495BB9"/>
    <w:rsid w:val="004A39BD"/>
    <w:rsid w:val="004B3256"/>
    <w:rsid w:val="004B642C"/>
    <w:rsid w:val="004C6810"/>
    <w:rsid w:val="004D255C"/>
    <w:rsid w:val="004D3BC8"/>
    <w:rsid w:val="004F5120"/>
    <w:rsid w:val="004F53CF"/>
    <w:rsid w:val="00503A62"/>
    <w:rsid w:val="0050504A"/>
    <w:rsid w:val="00506236"/>
    <w:rsid w:val="00516BEC"/>
    <w:rsid w:val="00517462"/>
    <w:rsid w:val="00523A2C"/>
    <w:rsid w:val="00525797"/>
    <w:rsid w:val="0052776E"/>
    <w:rsid w:val="00530E5B"/>
    <w:rsid w:val="00532006"/>
    <w:rsid w:val="00533BCE"/>
    <w:rsid w:val="005414E6"/>
    <w:rsid w:val="0054207A"/>
    <w:rsid w:val="005534B0"/>
    <w:rsid w:val="005547A9"/>
    <w:rsid w:val="00565194"/>
    <w:rsid w:val="0056649E"/>
    <w:rsid w:val="00576751"/>
    <w:rsid w:val="0057746D"/>
    <w:rsid w:val="00577CA5"/>
    <w:rsid w:val="00581673"/>
    <w:rsid w:val="0058621C"/>
    <w:rsid w:val="00591E9B"/>
    <w:rsid w:val="00593111"/>
    <w:rsid w:val="005947D5"/>
    <w:rsid w:val="00595E0E"/>
    <w:rsid w:val="005972C5"/>
    <w:rsid w:val="00597EED"/>
    <w:rsid w:val="005A0BD2"/>
    <w:rsid w:val="005A2669"/>
    <w:rsid w:val="005B05DA"/>
    <w:rsid w:val="005B2ECE"/>
    <w:rsid w:val="005B7A97"/>
    <w:rsid w:val="005C4551"/>
    <w:rsid w:val="005D0B30"/>
    <w:rsid w:val="005D1F77"/>
    <w:rsid w:val="005E5F85"/>
    <w:rsid w:val="00602013"/>
    <w:rsid w:val="006032F5"/>
    <w:rsid w:val="00603423"/>
    <w:rsid w:val="00613CE5"/>
    <w:rsid w:val="00616A08"/>
    <w:rsid w:val="0062432A"/>
    <w:rsid w:val="00631A50"/>
    <w:rsid w:val="00637675"/>
    <w:rsid w:val="00647EFD"/>
    <w:rsid w:val="006533EF"/>
    <w:rsid w:val="006540FA"/>
    <w:rsid w:val="0065483C"/>
    <w:rsid w:val="00661F57"/>
    <w:rsid w:val="00663528"/>
    <w:rsid w:val="00663A2E"/>
    <w:rsid w:val="0067044D"/>
    <w:rsid w:val="00677BFF"/>
    <w:rsid w:val="00686614"/>
    <w:rsid w:val="00686DE2"/>
    <w:rsid w:val="00687740"/>
    <w:rsid w:val="00691BD9"/>
    <w:rsid w:val="006927E8"/>
    <w:rsid w:val="00692AB1"/>
    <w:rsid w:val="00695B47"/>
    <w:rsid w:val="006B16C6"/>
    <w:rsid w:val="006C435A"/>
    <w:rsid w:val="006E3079"/>
    <w:rsid w:val="006F245E"/>
    <w:rsid w:val="006F6C6F"/>
    <w:rsid w:val="00700A17"/>
    <w:rsid w:val="00700F63"/>
    <w:rsid w:val="00701B05"/>
    <w:rsid w:val="00716C1B"/>
    <w:rsid w:val="00723EFE"/>
    <w:rsid w:val="00725C89"/>
    <w:rsid w:val="00730291"/>
    <w:rsid w:val="00730298"/>
    <w:rsid w:val="007332CA"/>
    <w:rsid w:val="00734D02"/>
    <w:rsid w:val="00741C25"/>
    <w:rsid w:val="00744DEA"/>
    <w:rsid w:val="00753DDF"/>
    <w:rsid w:val="00756DB0"/>
    <w:rsid w:val="00760977"/>
    <w:rsid w:val="00783FE1"/>
    <w:rsid w:val="00785260"/>
    <w:rsid w:val="007B37FA"/>
    <w:rsid w:val="007B5DED"/>
    <w:rsid w:val="007C2A84"/>
    <w:rsid w:val="007C43FB"/>
    <w:rsid w:val="007D47EA"/>
    <w:rsid w:val="007E226C"/>
    <w:rsid w:val="007E2AA1"/>
    <w:rsid w:val="007F0E41"/>
    <w:rsid w:val="00810EC6"/>
    <w:rsid w:val="00821DD1"/>
    <w:rsid w:val="008226A7"/>
    <w:rsid w:val="00825F04"/>
    <w:rsid w:val="00833E85"/>
    <w:rsid w:val="008469AC"/>
    <w:rsid w:val="00847693"/>
    <w:rsid w:val="00847D35"/>
    <w:rsid w:val="00855408"/>
    <w:rsid w:val="00866760"/>
    <w:rsid w:val="00874E99"/>
    <w:rsid w:val="00875EE4"/>
    <w:rsid w:val="008938DC"/>
    <w:rsid w:val="008955A1"/>
    <w:rsid w:val="00895F42"/>
    <w:rsid w:val="00896ADD"/>
    <w:rsid w:val="008A17CB"/>
    <w:rsid w:val="008A3E51"/>
    <w:rsid w:val="008A43B3"/>
    <w:rsid w:val="008A475D"/>
    <w:rsid w:val="008B53EE"/>
    <w:rsid w:val="008B73BA"/>
    <w:rsid w:val="008E1986"/>
    <w:rsid w:val="008E65F4"/>
    <w:rsid w:val="008F0A16"/>
    <w:rsid w:val="008F7911"/>
    <w:rsid w:val="009118FB"/>
    <w:rsid w:val="009178AB"/>
    <w:rsid w:val="00917C15"/>
    <w:rsid w:val="00924D1F"/>
    <w:rsid w:val="00932181"/>
    <w:rsid w:val="00935D1B"/>
    <w:rsid w:val="00952FEA"/>
    <w:rsid w:val="00953A2B"/>
    <w:rsid w:val="00960B6A"/>
    <w:rsid w:val="00962F45"/>
    <w:rsid w:val="00962F9F"/>
    <w:rsid w:val="00981B84"/>
    <w:rsid w:val="00993619"/>
    <w:rsid w:val="009A22D8"/>
    <w:rsid w:val="009A2FF2"/>
    <w:rsid w:val="009A740D"/>
    <w:rsid w:val="009B29C6"/>
    <w:rsid w:val="009B324B"/>
    <w:rsid w:val="009C00B8"/>
    <w:rsid w:val="009C3F14"/>
    <w:rsid w:val="009C52F9"/>
    <w:rsid w:val="009D07B0"/>
    <w:rsid w:val="009D52E9"/>
    <w:rsid w:val="009D55CC"/>
    <w:rsid w:val="009D5BBE"/>
    <w:rsid w:val="009E1805"/>
    <w:rsid w:val="009E27D9"/>
    <w:rsid w:val="009F30A0"/>
    <w:rsid w:val="00A00580"/>
    <w:rsid w:val="00A03E5E"/>
    <w:rsid w:val="00A31280"/>
    <w:rsid w:val="00A37DB2"/>
    <w:rsid w:val="00A41294"/>
    <w:rsid w:val="00A413E3"/>
    <w:rsid w:val="00A42ED8"/>
    <w:rsid w:val="00A51B65"/>
    <w:rsid w:val="00A610AE"/>
    <w:rsid w:val="00A66A66"/>
    <w:rsid w:val="00A830E2"/>
    <w:rsid w:val="00A83813"/>
    <w:rsid w:val="00A85E6E"/>
    <w:rsid w:val="00A91DD2"/>
    <w:rsid w:val="00A92247"/>
    <w:rsid w:val="00A96DBD"/>
    <w:rsid w:val="00AA4F11"/>
    <w:rsid w:val="00AC0D87"/>
    <w:rsid w:val="00AC5ABB"/>
    <w:rsid w:val="00AD1E6B"/>
    <w:rsid w:val="00AD63C1"/>
    <w:rsid w:val="00AD6E03"/>
    <w:rsid w:val="00AE2498"/>
    <w:rsid w:val="00AE6313"/>
    <w:rsid w:val="00B04AAC"/>
    <w:rsid w:val="00B11FD6"/>
    <w:rsid w:val="00B34679"/>
    <w:rsid w:val="00B424F5"/>
    <w:rsid w:val="00B514DA"/>
    <w:rsid w:val="00B65CD1"/>
    <w:rsid w:val="00B6668C"/>
    <w:rsid w:val="00B72BED"/>
    <w:rsid w:val="00B93B93"/>
    <w:rsid w:val="00B941D5"/>
    <w:rsid w:val="00BA7825"/>
    <w:rsid w:val="00BB2B09"/>
    <w:rsid w:val="00BC18F1"/>
    <w:rsid w:val="00BE05D7"/>
    <w:rsid w:val="00BF01E3"/>
    <w:rsid w:val="00BF2482"/>
    <w:rsid w:val="00C0560A"/>
    <w:rsid w:val="00C10E60"/>
    <w:rsid w:val="00C11C6D"/>
    <w:rsid w:val="00C22BB7"/>
    <w:rsid w:val="00C22F6C"/>
    <w:rsid w:val="00C2619C"/>
    <w:rsid w:val="00C354F5"/>
    <w:rsid w:val="00C36F27"/>
    <w:rsid w:val="00C426DF"/>
    <w:rsid w:val="00C438F8"/>
    <w:rsid w:val="00C4591D"/>
    <w:rsid w:val="00C47D88"/>
    <w:rsid w:val="00C56052"/>
    <w:rsid w:val="00C56B4E"/>
    <w:rsid w:val="00C655C0"/>
    <w:rsid w:val="00C65C96"/>
    <w:rsid w:val="00C779FD"/>
    <w:rsid w:val="00C81A32"/>
    <w:rsid w:val="00C869EA"/>
    <w:rsid w:val="00C97958"/>
    <w:rsid w:val="00CA133F"/>
    <w:rsid w:val="00CB3336"/>
    <w:rsid w:val="00CB3603"/>
    <w:rsid w:val="00CD0AC7"/>
    <w:rsid w:val="00CD415C"/>
    <w:rsid w:val="00CE0A26"/>
    <w:rsid w:val="00CE675C"/>
    <w:rsid w:val="00CE691A"/>
    <w:rsid w:val="00CF0E9E"/>
    <w:rsid w:val="00CF1131"/>
    <w:rsid w:val="00CF2AB2"/>
    <w:rsid w:val="00D21C9C"/>
    <w:rsid w:val="00D35371"/>
    <w:rsid w:val="00D611F0"/>
    <w:rsid w:val="00D7067E"/>
    <w:rsid w:val="00D9547D"/>
    <w:rsid w:val="00DA0687"/>
    <w:rsid w:val="00DA3F3A"/>
    <w:rsid w:val="00DB0477"/>
    <w:rsid w:val="00DB40F3"/>
    <w:rsid w:val="00DB5C86"/>
    <w:rsid w:val="00DB6B6C"/>
    <w:rsid w:val="00DC39EA"/>
    <w:rsid w:val="00DD21D1"/>
    <w:rsid w:val="00DD676A"/>
    <w:rsid w:val="00E00178"/>
    <w:rsid w:val="00E015C4"/>
    <w:rsid w:val="00E14740"/>
    <w:rsid w:val="00E17AF4"/>
    <w:rsid w:val="00E34F3E"/>
    <w:rsid w:val="00E40447"/>
    <w:rsid w:val="00E51764"/>
    <w:rsid w:val="00E523EB"/>
    <w:rsid w:val="00E52CCA"/>
    <w:rsid w:val="00E55E7B"/>
    <w:rsid w:val="00E60BEE"/>
    <w:rsid w:val="00E61554"/>
    <w:rsid w:val="00E62CC5"/>
    <w:rsid w:val="00E80718"/>
    <w:rsid w:val="00E80D8A"/>
    <w:rsid w:val="00E91356"/>
    <w:rsid w:val="00E92061"/>
    <w:rsid w:val="00EA62B1"/>
    <w:rsid w:val="00EA6EA8"/>
    <w:rsid w:val="00EB26CB"/>
    <w:rsid w:val="00EB3E69"/>
    <w:rsid w:val="00EC1859"/>
    <w:rsid w:val="00EC47B4"/>
    <w:rsid w:val="00EC6BF7"/>
    <w:rsid w:val="00EC7680"/>
    <w:rsid w:val="00ED2EB2"/>
    <w:rsid w:val="00ED4AAF"/>
    <w:rsid w:val="00ED7DFF"/>
    <w:rsid w:val="00EE0EFF"/>
    <w:rsid w:val="00EE3A71"/>
    <w:rsid w:val="00EF4370"/>
    <w:rsid w:val="00F01816"/>
    <w:rsid w:val="00F03981"/>
    <w:rsid w:val="00F11CFA"/>
    <w:rsid w:val="00F238F7"/>
    <w:rsid w:val="00F32A0F"/>
    <w:rsid w:val="00F401ED"/>
    <w:rsid w:val="00F4317B"/>
    <w:rsid w:val="00F46C14"/>
    <w:rsid w:val="00F55175"/>
    <w:rsid w:val="00F71CBB"/>
    <w:rsid w:val="00F74FF2"/>
    <w:rsid w:val="00F808E8"/>
    <w:rsid w:val="00F92A76"/>
    <w:rsid w:val="00FA4C05"/>
    <w:rsid w:val="00FB0C74"/>
    <w:rsid w:val="00FB1F9D"/>
    <w:rsid w:val="00FC30A8"/>
    <w:rsid w:val="00FC4179"/>
    <w:rsid w:val="00FC4D47"/>
    <w:rsid w:val="00FC6B00"/>
    <w:rsid w:val="00FC7B66"/>
    <w:rsid w:val="00FD3B13"/>
    <w:rsid w:val="00FD41A3"/>
    <w:rsid w:val="00FE24F1"/>
    <w:rsid w:val="00FE38D0"/>
    <w:rsid w:val="00FE5D3C"/>
    <w:rsid w:val="00FE68E3"/>
    <w:rsid w:val="00FE70F8"/>
    <w:rsid w:val="00FF08ED"/>
    <w:rsid w:val="00FF3053"/>
    <w:rsid w:val="00FF3632"/>
    <w:rsid w:val="00FF5CF6"/>
    <w:rsid w:val="013F062D"/>
    <w:rsid w:val="013F30CC"/>
    <w:rsid w:val="014F5628"/>
    <w:rsid w:val="017731AD"/>
    <w:rsid w:val="01E82B05"/>
    <w:rsid w:val="021D16F5"/>
    <w:rsid w:val="02330EFF"/>
    <w:rsid w:val="023B427C"/>
    <w:rsid w:val="0263249C"/>
    <w:rsid w:val="02646DDE"/>
    <w:rsid w:val="026804A8"/>
    <w:rsid w:val="02742104"/>
    <w:rsid w:val="02E80148"/>
    <w:rsid w:val="031C6CD8"/>
    <w:rsid w:val="03380A51"/>
    <w:rsid w:val="03B01525"/>
    <w:rsid w:val="03B65098"/>
    <w:rsid w:val="03BF7BF9"/>
    <w:rsid w:val="03F40C0D"/>
    <w:rsid w:val="04017F1E"/>
    <w:rsid w:val="04145AC0"/>
    <w:rsid w:val="044E2C47"/>
    <w:rsid w:val="04B5245C"/>
    <w:rsid w:val="04BF7F24"/>
    <w:rsid w:val="053B7EC1"/>
    <w:rsid w:val="057E12EF"/>
    <w:rsid w:val="05A01673"/>
    <w:rsid w:val="05C37E7E"/>
    <w:rsid w:val="05D63DCA"/>
    <w:rsid w:val="062B3330"/>
    <w:rsid w:val="064515A8"/>
    <w:rsid w:val="068520A9"/>
    <w:rsid w:val="06AF3D22"/>
    <w:rsid w:val="06D25771"/>
    <w:rsid w:val="075C29EA"/>
    <w:rsid w:val="07664010"/>
    <w:rsid w:val="07C41464"/>
    <w:rsid w:val="07F01034"/>
    <w:rsid w:val="080E69A2"/>
    <w:rsid w:val="08273A4A"/>
    <w:rsid w:val="083B671F"/>
    <w:rsid w:val="084F1749"/>
    <w:rsid w:val="08563DF9"/>
    <w:rsid w:val="085F1FAC"/>
    <w:rsid w:val="087A64DB"/>
    <w:rsid w:val="087F1AC3"/>
    <w:rsid w:val="08937095"/>
    <w:rsid w:val="08B33C8F"/>
    <w:rsid w:val="08F6500E"/>
    <w:rsid w:val="094623B4"/>
    <w:rsid w:val="096116F9"/>
    <w:rsid w:val="09635272"/>
    <w:rsid w:val="09A45858"/>
    <w:rsid w:val="09D865CE"/>
    <w:rsid w:val="0A1D5153"/>
    <w:rsid w:val="0A2B769F"/>
    <w:rsid w:val="0A2D6BCA"/>
    <w:rsid w:val="0A2E79CA"/>
    <w:rsid w:val="0A336861"/>
    <w:rsid w:val="0AB6091F"/>
    <w:rsid w:val="0AFB3CAB"/>
    <w:rsid w:val="0B0354B3"/>
    <w:rsid w:val="0B2D2E0E"/>
    <w:rsid w:val="0B360793"/>
    <w:rsid w:val="0B3D6784"/>
    <w:rsid w:val="0B48033C"/>
    <w:rsid w:val="0B550546"/>
    <w:rsid w:val="0B807056"/>
    <w:rsid w:val="0BE92047"/>
    <w:rsid w:val="0C422339"/>
    <w:rsid w:val="0C6F71B5"/>
    <w:rsid w:val="0C702CA5"/>
    <w:rsid w:val="0C941614"/>
    <w:rsid w:val="0CB26921"/>
    <w:rsid w:val="0CBB6E32"/>
    <w:rsid w:val="0CE048A7"/>
    <w:rsid w:val="0D055DDB"/>
    <w:rsid w:val="0D7A22D5"/>
    <w:rsid w:val="0D7D7F68"/>
    <w:rsid w:val="0D8A3B45"/>
    <w:rsid w:val="0DB47423"/>
    <w:rsid w:val="0DD248BB"/>
    <w:rsid w:val="0DDC1E97"/>
    <w:rsid w:val="0DE36876"/>
    <w:rsid w:val="0E087D81"/>
    <w:rsid w:val="0E3C2158"/>
    <w:rsid w:val="0E4B4254"/>
    <w:rsid w:val="0E840A61"/>
    <w:rsid w:val="0EFF7512"/>
    <w:rsid w:val="0F320751"/>
    <w:rsid w:val="0F773117"/>
    <w:rsid w:val="0FC44CAD"/>
    <w:rsid w:val="0FD64CA3"/>
    <w:rsid w:val="0FD94188"/>
    <w:rsid w:val="10050BE9"/>
    <w:rsid w:val="103063AB"/>
    <w:rsid w:val="104B57D1"/>
    <w:rsid w:val="10BD2BE4"/>
    <w:rsid w:val="10E8700C"/>
    <w:rsid w:val="10F974AE"/>
    <w:rsid w:val="111C5FA2"/>
    <w:rsid w:val="11326A5D"/>
    <w:rsid w:val="116745ED"/>
    <w:rsid w:val="11E17A68"/>
    <w:rsid w:val="11E53EDD"/>
    <w:rsid w:val="121E5470"/>
    <w:rsid w:val="12C24A68"/>
    <w:rsid w:val="12E55BEB"/>
    <w:rsid w:val="12FA6F5C"/>
    <w:rsid w:val="13030CCD"/>
    <w:rsid w:val="130C79E5"/>
    <w:rsid w:val="13182583"/>
    <w:rsid w:val="13373222"/>
    <w:rsid w:val="135D4CAB"/>
    <w:rsid w:val="136972C4"/>
    <w:rsid w:val="136A693D"/>
    <w:rsid w:val="138314FF"/>
    <w:rsid w:val="13C80D7C"/>
    <w:rsid w:val="13DD4507"/>
    <w:rsid w:val="14623594"/>
    <w:rsid w:val="149F017E"/>
    <w:rsid w:val="15036224"/>
    <w:rsid w:val="151071CA"/>
    <w:rsid w:val="154652C8"/>
    <w:rsid w:val="154C5FE6"/>
    <w:rsid w:val="15670FE9"/>
    <w:rsid w:val="157C345C"/>
    <w:rsid w:val="15842EE2"/>
    <w:rsid w:val="15BE2331"/>
    <w:rsid w:val="15DF1F22"/>
    <w:rsid w:val="15F343A3"/>
    <w:rsid w:val="15F62DDE"/>
    <w:rsid w:val="16083302"/>
    <w:rsid w:val="161E3CC5"/>
    <w:rsid w:val="16513651"/>
    <w:rsid w:val="16741228"/>
    <w:rsid w:val="16C46C76"/>
    <w:rsid w:val="16EB350C"/>
    <w:rsid w:val="1711483C"/>
    <w:rsid w:val="17393075"/>
    <w:rsid w:val="176D2EC0"/>
    <w:rsid w:val="177E1CDE"/>
    <w:rsid w:val="178D00D5"/>
    <w:rsid w:val="17C35E0D"/>
    <w:rsid w:val="17EC1CF2"/>
    <w:rsid w:val="17F02FFA"/>
    <w:rsid w:val="17F87452"/>
    <w:rsid w:val="18267267"/>
    <w:rsid w:val="189640DE"/>
    <w:rsid w:val="18B359CE"/>
    <w:rsid w:val="18D071F7"/>
    <w:rsid w:val="18DA37E8"/>
    <w:rsid w:val="18DB49B2"/>
    <w:rsid w:val="18E857D3"/>
    <w:rsid w:val="18E90CE0"/>
    <w:rsid w:val="19005926"/>
    <w:rsid w:val="19011EEE"/>
    <w:rsid w:val="192D7B96"/>
    <w:rsid w:val="1931484B"/>
    <w:rsid w:val="193F2AE8"/>
    <w:rsid w:val="197F36C0"/>
    <w:rsid w:val="19961797"/>
    <w:rsid w:val="19C3003E"/>
    <w:rsid w:val="19C63E74"/>
    <w:rsid w:val="19E20DF8"/>
    <w:rsid w:val="19F900A5"/>
    <w:rsid w:val="1A42624B"/>
    <w:rsid w:val="1A481DBB"/>
    <w:rsid w:val="1A506D50"/>
    <w:rsid w:val="1A7A1C7C"/>
    <w:rsid w:val="1A954E1A"/>
    <w:rsid w:val="1A9C78B8"/>
    <w:rsid w:val="1AC45247"/>
    <w:rsid w:val="1B295FD1"/>
    <w:rsid w:val="1B316459"/>
    <w:rsid w:val="1B3A17D9"/>
    <w:rsid w:val="1B5332D3"/>
    <w:rsid w:val="1B653958"/>
    <w:rsid w:val="1BB5142E"/>
    <w:rsid w:val="1BBA7B3B"/>
    <w:rsid w:val="1BBE1268"/>
    <w:rsid w:val="1BDA470A"/>
    <w:rsid w:val="1C2A0CCE"/>
    <w:rsid w:val="1C527BAD"/>
    <w:rsid w:val="1C575D58"/>
    <w:rsid w:val="1CA21DD2"/>
    <w:rsid w:val="1CCE6FE5"/>
    <w:rsid w:val="1CD72270"/>
    <w:rsid w:val="1D2A388B"/>
    <w:rsid w:val="1D316D01"/>
    <w:rsid w:val="1D666457"/>
    <w:rsid w:val="1D98503A"/>
    <w:rsid w:val="1DB27EF3"/>
    <w:rsid w:val="1DCC07DF"/>
    <w:rsid w:val="1DF25F9C"/>
    <w:rsid w:val="1E11040F"/>
    <w:rsid w:val="1E162CE9"/>
    <w:rsid w:val="1E2B74BD"/>
    <w:rsid w:val="1E70240C"/>
    <w:rsid w:val="1EA01BC1"/>
    <w:rsid w:val="1EC22475"/>
    <w:rsid w:val="1EC25C84"/>
    <w:rsid w:val="1EC302FC"/>
    <w:rsid w:val="1ED51614"/>
    <w:rsid w:val="1F214DEB"/>
    <w:rsid w:val="1F2C60D1"/>
    <w:rsid w:val="1F5044E1"/>
    <w:rsid w:val="1F603EAC"/>
    <w:rsid w:val="1F8564AF"/>
    <w:rsid w:val="1F901FEF"/>
    <w:rsid w:val="1FBB1313"/>
    <w:rsid w:val="1FD23A00"/>
    <w:rsid w:val="1FDC0418"/>
    <w:rsid w:val="202E2537"/>
    <w:rsid w:val="20345216"/>
    <w:rsid w:val="206A2084"/>
    <w:rsid w:val="207561E3"/>
    <w:rsid w:val="20A44B58"/>
    <w:rsid w:val="20D444F3"/>
    <w:rsid w:val="20E03568"/>
    <w:rsid w:val="214D6CDE"/>
    <w:rsid w:val="21637473"/>
    <w:rsid w:val="21AC272C"/>
    <w:rsid w:val="21FA4841"/>
    <w:rsid w:val="22123218"/>
    <w:rsid w:val="22192BEC"/>
    <w:rsid w:val="223C2A29"/>
    <w:rsid w:val="2247496E"/>
    <w:rsid w:val="226C54AD"/>
    <w:rsid w:val="22770972"/>
    <w:rsid w:val="22B1191D"/>
    <w:rsid w:val="22C933DF"/>
    <w:rsid w:val="22CE2D68"/>
    <w:rsid w:val="22E73B0C"/>
    <w:rsid w:val="22F21B59"/>
    <w:rsid w:val="22F67709"/>
    <w:rsid w:val="22F844F3"/>
    <w:rsid w:val="22FB6FFC"/>
    <w:rsid w:val="23060516"/>
    <w:rsid w:val="230F7F46"/>
    <w:rsid w:val="23852434"/>
    <w:rsid w:val="239F702D"/>
    <w:rsid w:val="23AB1321"/>
    <w:rsid w:val="23C474BE"/>
    <w:rsid w:val="23C66354"/>
    <w:rsid w:val="23DB5A47"/>
    <w:rsid w:val="242A615C"/>
    <w:rsid w:val="248A1DE1"/>
    <w:rsid w:val="24936AD0"/>
    <w:rsid w:val="24FB1626"/>
    <w:rsid w:val="251470B3"/>
    <w:rsid w:val="25255710"/>
    <w:rsid w:val="252A0CC5"/>
    <w:rsid w:val="252C4D0F"/>
    <w:rsid w:val="25361D0C"/>
    <w:rsid w:val="255E525A"/>
    <w:rsid w:val="258C5A68"/>
    <w:rsid w:val="25C33518"/>
    <w:rsid w:val="25C8062F"/>
    <w:rsid w:val="25CE0E9B"/>
    <w:rsid w:val="25CF7CD2"/>
    <w:rsid w:val="25DC3DC3"/>
    <w:rsid w:val="25EA3C65"/>
    <w:rsid w:val="25F82E7A"/>
    <w:rsid w:val="2646602F"/>
    <w:rsid w:val="265D522E"/>
    <w:rsid w:val="269461F3"/>
    <w:rsid w:val="26C26E2C"/>
    <w:rsid w:val="26D075D7"/>
    <w:rsid w:val="271B0BF0"/>
    <w:rsid w:val="272506A0"/>
    <w:rsid w:val="272F63EC"/>
    <w:rsid w:val="274C129A"/>
    <w:rsid w:val="27713EA8"/>
    <w:rsid w:val="277367F4"/>
    <w:rsid w:val="279B0F90"/>
    <w:rsid w:val="27C719F6"/>
    <w:rsid w:val="27F323B6"/>
    <w:rsid w:val="27F610C3"/>
    <w:rsid w:val="28072C27"/>
    <w:rsid w:val="28090A2D"/>
    <w:rsid w:val="2852042B"/>
    <w:rsid w:val="285C75BD"/>
    <w:rsid w:val="285F27F0"/>
    <w:rsid w:val="287249C0"/>
    <w:rsid w:val="29015F72"/>
    <w:rsid w:val="2902407B"/>
    <w:rsid w:val="29064464"/>
    <w:rsid w:val="291573F8"/>
    <w:rsid w:val="294E51D2"/>
    <w:rsid w:val="29505F5F"/>
    <w:rsid w:val="29930E15"/>
    <w:rsid w:val="299B687E"/>
    <w:rsid w:val="29C31414"/>
    <w:rsid w:val="2A337754"/>
    <w:rsid w:val="2A50358C"/>
    <w:rsid w:val="2A5729E3"/>
    <w:rsid w:val="2A660F28"/>
    <w:rsid w:val="2A810EC7"/>
    <w:rsid w:val="2A966BDD"/>
    <w:rsid w:val="2ABE0458"/>
    <w:rsid w:val="2B026D0A"/>
    <w:rsid w:val="2B4748A3"/>
    <w:rsid w:val="2B5672FB"/>
    <w:rsid w:val="2B777C81"/>
    <w:rsid w:val="2BB91F6F"/>
    <w:rsid w:val="2BDD7B97"/>
    <w:rsid w:val="2BE303AD"/>
    <w:rsid w:val="2C304754"/>
    <w:rsid w:val="2C8B5159"/>
    <w:rsid w:val="2CC35A73"/>
    <w:rsid w:val="2CDF5029"/>
    <w:rsid w:val="2D29423A"/>
    <w:rsid w:val="2D2D62C9"/>
    <w:rsid w:val="2D314977"/>
    <w:rsid w:val="2D7D0160"/>
    <w:rsid w:val="2DDE3A1E"/>
    <w:rsid w:val="2E0117F4"/>
    <w:rsid w:val="2E2325D1"/>
    <w:rsid w:val="2E7455C2"/>
    <w:rsid w:val="2E8E100B"/>
    <w:rsid w:val="2EAA3814"/>
    <w:rsid w:val="2EBE5318"/>
    <w:rsid w:val="2EEC3046"/>
    <w:rsid w:val="2F0978FF"/>
    <w:rsid w:val="2F140A46"/>
    <w:rsid w:val="2F180F36"/>
    <w:rsid w:val="2FA07D2A"/>
    <w:rsid w:val="302270B8"/>
    <w:rsid w:val="3057052C"/>
    <w:rsid w:val="309E4C3C"/>
    <w:rsid w:val="30A315A7"/>
    <w:rsid w:val="30AA5E89"/>
    <w:rsid w:val="30AA77CA"/>
    <w:rsid w:val="30D46C7F"/>
    <w:rsid w:val="3166232D"/>
    <w:rsid w:val="318879FD"/>
    <w:rsid w:val="31F61F9A"/>
    <w:rsid w:val="325544BE"/>
    <w:rsid w:val="32627887"/>
    <w:rsid w:val="326B79AD"/>
    <w:rsid w:val="326E64D4"/>
    <w:rsid w:val="327C70F3"/>
    <w:rsid w:val="32AA2AF0"/>
    <w:rsid w:val="32AB5F62"/>
    <w:rsid w:val="33591218"/>
    <w:rsid w:val="33612D79"/>
    <w:rsid w:val="33694F83"/>
    <w:rsid w:val="33D6625F"/>
    <w:rsid w:val="340D3941"/>
    <w:rsid w:val="341D570F"/>
    <w:rsid w:val="344D4E7C"/>
    <w:rsid w:val="345B2164"/>
    <w:rsid w:val="346217BC"/>
    <w:rsid w:val="3471260B"/>
    <w:rsid w:val="34737D13"/>
    <w:rsid w:val="349A4479"/>
    <w:rsid w:val="34B11139"/>
    <w:rsid w:val="34B86078"/>
    <w:rsid w:val="34D1001F"/>
    <w:rsid w:val="34E55464"/>
    <w:rsid w:val="351839D0"/>
    <w:rsid w:val="351D1ED8"/>
    <w:rsid w:val="35586E3B"/>
    <w:rsid w:val="356E29EA"/>
    <w:rsid w:val="35733E0B"/>
    <w:rsid w:val="35E147CC"/>
    <w:rsid w:val="35EC2B93"/>
    <w:rsid w:val="35ED0C0C"/>
    <w:rsid w:val="3638108B"/>
    <w:rsid w:val="36412A0C"/>
    <w:rsid w:val="3667694A"/>
    <w:rsid w:val="36BF1E10"/>
    <w:rsid w:val="36CD7545"/>
    <w:rsid w:val="371E70D7"/>
    <w:rsid w:val="3746425D"/>
    <w:rsid w:val="374E2952"/>
    <w:rsid w:val="37641E6D"/>
    <w:rsid w:val="376B58B8"/>
    <w:rsid w:val="376E3DEE"/>
    <w:rsid w:val="37AB162F"/>
    <w:rsid w:val="37BF3C06"/>
    <w:rsid w:val="37FF60B4"/>
    <w:rsid w:val="381B37A6"/>
    <w:rsid w:val="38417941"/>
    <w:rsid w:val="388E5E74"/>
    <w:rsid w:val="389255D4"/>
    <w:rsid w:val="38B241E9"/>
    <w:rsid w:val="38FA62B3"/>
    <w:rsid w:val="391071F7"/>
    <w:rsid w:val="393A760C"/>
    <w:rsid w:val="394141A8"/>
    <w:rsid w:val="3946084D"/>
    <w:rsid w:val="394C43FE"/>
    <w:rsid w:val="397B4551"/>
    <w:rsid w:val="39A57F5C"/>
    <w:rsid w:val="39B12D97"/>
    <w:rsid w:val="39B772FE"/>
    <w:rsid w:val="3A291D56"/>
    <w:rsid w:val="3A2C08BB"/>
    <w:rsid w:val="3A3F75A8"/>
    <w:rsid w:val="3A70574C"/>
    <w:rsid w:val="3A9806EC"/>
    <w:rsid w:val="3A9D1896"/>
    <w:rsid w:val="3AB43FB0"/>
    <w:rsid w:val="3AB97FF6"/>
    <w:rsid w:val="3B085F13"/>
    <w:rsid w:val="3B3C167D"/>
    <w:rsid w:val="3BAB30DF"/>
    <w:rsid w:val="3C2E4F69"/>
    <w:rsid w:val="3C33291E"/>
    <w:rsid w:val="3C45585B"/>
    <w:rsid w:val="3C720398"/>
    <w:rsid w:val="3CA3643D"/>
    <w:rsid w:val="3CBA2DBF"/>
    <w:rsid w:val="3CBE244C"/>
    <w:rsid w:val="3D017F81"/>
    <w:rsid w:val="3D186842"/>
    <w:rsid w:val="3D66320E"/>
    <w:rsid w:val="3DB671EA"/>
    <w:rsid w:val="3DFA04F0"/>
    <w:rsid w:val="3E1B341D"/>
    <w:rsid w:val="3E1B7FCF"/>
    <w:rsid w:val="3E4D07E9"/>
    <w:rsid w:val="3E6378AB"/>
    <w:rsid w:val="3E99695E"/>
    <w:rsid w:val="3EA87B6C"/>
    <w:rsid w:val="3EB33DAE"/>
    <w:rsid w:val="3EC903CC"/>
    <w:rsid w:val="3ED9278E"/>
    <w:rsid w:val="3EFB2D55"/>
    <w:rsid w:val="3EFD599D"/>
    <w:rsid w:val="3F16785E"/>
    <w:rsid w:val="3F7E58AA"/>
    <w:rsid w:val="3F9A084F"/>
    <w:rsid w:val="40274BA6"/>
    <w:rsid w:val="40650E75"/>
    <w:rsid w:val="407C5E80"/>
    <w:rsid w:val="40893EF9"/>
    <w:rsid w:val="40B933C7"/>
    <w:rsid w:val="41006378"/>
    <w:rsid w:val="41371568"/>
    <w:rsid w:val="41430355"/>
    <w:rsid w:val="415D1A2D"/>
    <w:rsid w:val="4162378B"/>
    <w:rsid w:val="41634906"/>
    <w:rsid w:val="419A2C36"/>
    <w:rsid w:val="419B6360"/>
    <w:rsid w:val="41C96A52"/>
    <w:rsid w:val="41E741A4"/>
    <w:rsid w:val="41F653DA"/>
    <w:rsid w:val="41FF1D7F"/>
    <w:rsid w:val="420F781A"/>
    <w:rsid w:val="422012D4"/>
    <w:rsid w:val="423D46F9"/>
    <w:rsid w:val="424D0CEC"/>
    <w:rsid w:val="425B701E"/>
    <w:rsid w:val="42B248A0"/>
    <w:rsid w:val="42B70245"/>
    <w:rsid w:val="434030D9"/>
    <w:rsid w:val="43462EA4"/>
    <w:rsid w:val="43962E5C"/>
    <w:rsid w:val="43B7483C"/>
    <w:rsid w:val="43C55F45"/>
    <w:rsid w:val="43DA4E06"/>
    <w:rsid w:val="43E66272"/>
    <w:rsid w:val="4406232F"/>
    <w:rsid w:val="440A0205"/>
    <w:rsid w:val="44325020"/>
    <w:rsid w:val="444B14FF"/>
    <w:rsid w:val="44CB7EBC"/>
    <w:rsid w:val="44FC7B6E"/>
    <w:rsid w:val="450312F1"/>
    <w:rsid w:val="45313A38"/>
    <w:rsid w:val="45420016"/>
    <w:rsid w:val="45971482"/>
    <w:rsid w:val="45A21259"/>
    <w:rsid w:val="45AB75F9"/>
    <w:rsid w:val="45E64816"/>
    <w:rsid w:val="45F83E8D"/>
    <w:rsid w:val="46041A4E"/>
    <w:rsid w:val="4682629C"/>
    <w:rsid w:val="46D26F73"/>
    <w:rsid w:val="46DC2D7C"/>
    <w:rsid w:val="46F74D7F"/>
    <w:rsid w:val="472444EE"/>
    <w:rsid w:val="47296D9D"/>
    <w:rsid w:val="474371BB"/>
    <w:rsid w:val="47A85D6A"/>
    <w:rsid w:val="47B77AB2"/>
    <w:rsid w:val="47C25421"/>
    <w:rsid w:val="47CD351B"/>
    <w:rsid w:val="48045734"/>
    <w:rsid w:val="481972F2"/>
    <w:rsid w:val="4858457D"/>
    <w:rsid w:val="48C311C4"/>
    <w:rsid w:val="48C84707"/>
    <w:rsid w:val="48D3449C"/>
    <w:rsid w:val="48DF3958"/>
    <w:rsid w:val="48E136AA"/>
    <w:rsid w:val="48F509A0"/>
    <w:rsid w:val="49482E32"/>
    <w:rsid w:val="49652333"/>
    <w:rsid w:val="49D36A5B"/>
    <w:rsid w:val="4A162464"/>
    <w:rsid w:val="4A41570F"/>
    <w:rsid w:val="4A5319BA"/>
    <w:rsid w:val="4A751B3E"/>
    <w:rsid w:val="4A860E6D"/>
    <w:rsid w:val="4AA17C2C"/>
    <w:rsid w:val="4AFD4DCD"/>
    <w:rsid w:val="4B483CD6"/>
    <w:rsid w:val="4B4F22E5"/>
    <w:rsid w:val="4B5C0954"/>
    <w:rsid w:val="4B6935A3"/>
    <w:rsid w:val="4BCE60EA"/>
    <w:rsid w:val="4BDE679C"/>
    <w:rsid w:val="4C0935D2"/>
    <w:rsid w:val="4C2F1218"/>
    <w:rsid w:val="4C5378FD"/>
    <w:rsid w:val="4C801F1B"/>
    <w:rsid w:val="4C9915D9"/>
    <w:rsid w:val="4CB84118"/>
    <w:rsid w:val="4CF613CF"/>
    <w:rsid w:val="4D183466"/>
    <w:rsid w:val="4D354870"/>
    <w:rsid w:val="4D385A48"/>
    <w:rsid w:val="4D5C7A6E"/>
    <w:rsid w:val="4D747C04"/>
    <w:rsid w:val="4DAA3606"/>
    <w:rsid w:val="4DB224C4"/>
    <w:rsid w:val="4DB77B5A"/>
    <w:rsid w:val="4DC87200"/>
    <w:rsid w:val="4DD15435"/>
    <w:rsid w:val="4DDB0CC4"/>
    <w:rsid w:val="4DDB46F4"/>
    <w:rsid w:val="4DF15D2E"/>
    <w:rsid w:val="4E1B0F43"/>
    <w:rsid w:val="4E352CD5"/>
    <w:rsid w:val="4E505F0D"/>
    <w:rsid w:val="4EA372D9"/>
    <w:rsid w:val="4EA82A8B"/>
    <w:rsid w:val="4EAA0DEB"/>
    <w:rsid w:val="4ED463BA"/>
    <w:rsid w:val="4EDF7D25"/>
    <w:rsid w:val="4EF36CB1"/>
    <w:rsid w:val="4EF92124"/>
    <w:rsid w:val="4EFB22A6"/>
    <w:rsid w:val="4F0B4329"/>
    <w:rsid w:val="4F1547FA"/>
    <w:rsid w:val="4F392099"/>
    <w:rsid w:val="4F473DF1"/>
    <w:rsid w:val="4F582DE7"/>
    <w:rsid w:val="4F727458"/>
    <w:rsid w:val="4F8B15B2"/>
    <w:rsid w:val="4FE3614E"/>
    <w:rsid w:val="4FFC40EE"/>
    <w:rsid w:val="50027D35"/>
    <w:rsid w:val="50900010"/>
    <w:rsid w:val="50AF7E4A"/>
    <w:rsid w:val="50BA0EC4"/>
    <w:rsid w:val="512543F6"/>
    <w:rsid w:val="513F382B"/>
    <w:rsid w:val="515C5432"/>
    <w:rsid w:val="516366E2"/>
    <w:rsid w:val="518A0278"/>
    <w:rsid w:val="51B631EA"/>
    <w:rsid w:val="51C166F8"/>
    <w:rsid w:val="51F22E92"/>
    <w:rsid w:val="523657EC"/>
    <w:rsid w:val="524D2CD4"/>
    <w:rsid w:val="52A254D6"/>
    <w:rsid w:val="52B53963"/>
    <w:rsid w:val="53407771"/>
    <w:rsid w:val="534D4987"/>
    <w:rsid w:val="53713144"/>
    <w:rsid w:val="538963CE"/>
    <w:rsid w:val="538B360B"/>
    <w:rsid w:val="53AC2D52"/>
    <w:rsid w:val="53B15A39"/>
    <w:rsid w:val="541A5473"/>
    <w:rsid w:val="54B72628"/>
    <w:rsid w:val="552B35B9"/>
    <w:rsid w:val="552F52BD"/>
    <w:rsid w:val="553C32B8"/>
    <w:rsid w:val="55662B78"/>
    <w:rsid w:val="55A90550"/>
    <w:rsid w:val="56261083"/>
    <w:rsid w:val="56310D57"/>
    <w:rsid w:val="566C6BAF"/>
    <w:rsid w:val="5680020C"/>
    <w:rsid w:val="56A82304"/>
    <w:rsid w:val="57116846"/>
    <w:rsid w:val="571B02A8"/>
    <w:rsid w:val="578B75E0"/>
    <w:rsid w:val="57A010C5"/>
    <w:rsid w:val="584C031C"/>
    <w:rsid w:val="58773526"/>
    <w:rsid w:val="58E954E6"/>
    <w:rsid w:val="594912A5"/>
    <w:rsid w:val="595C2422"/>
    <w:rsid w:val="596E4C50"/>
    <w:rsid w:val="59744E3A"/>
    <w:rsid w:val="598277EF"/>
    <w:rsid w:val="5990782A"/>
    <w:rsid w:val="59933A78"/>
    <w:rsid w:val="59B53E1E"/>
    <w:rsid w:val="59B7437F"/>
    <w:rsid w:val="59BC13C2"/>
    <w:rsid w:val="5AD84787"/>
    <w:rsid w:val="5ADA2236"/>
    <w:rsid w:val="5B7A2560"/>
    <w:rsid w:val="5BA43565"/>
    <w:rsid w:val="5BD939D1"/>
    <w:rsid w:val="5BFD428C"/>
    <w:rsid w:val="5C007C96"/>
    <w:rsid w:val="5C1165F1"/>
    <w:rsid w:val="5C235F0D"/>
    <w:rsid w:val="5C58164A"/>
    <w:rsid w:val="5C602EE3"/>
    <w:rsid w:val="5C906CB3"/>
    <w:rsid w:val="5CA52F31"/>
    <w:rsid w:val="5D1608AB"/>
    <w:rsid w:val="5D296EBB"/>
    <w:rsid w:val="5D30766A"/>
    <w:rsid w:val="5D9641EF"/>
    <w:rsid w:val="5DBB7B5A"/>
    <w:rsid w:val="5DD7052A"/>
    <w:rsid w:val="5E1000A3"/>
    <w:rsid w:val="5E8501A5"/>
    <w:rsid w:val="5EA02051"/>
    <w:rsid w:val="5EBF567D"/>
    <w:rsid w:val="5F1A20AC"/>
    <w:rsid w:val="5F412446"/>
    <w:rsid w:val="5F85587E"/>
    <w:rsid w:val="5F87721D"/>
    <w:rsid w:val="5F925B7B"/>
    <w:rsid w:val="5FC30C39"/>
    <w:rsid w:val="5FD14F7F"/>
    <w:rsid w:val="5FD86E1E"/>
    <w:rsid w:val="60513F6C"/>
    <w:rsid w:val="60D45F78"/>
    <w:rsid w:val="60F61F9D"/>
    <w:rsid w:val="61187726"/>
    <w:rsid w:val="611B0C57"/>
    <w:rsid w:val="616B42AC"/>
    <w:rsid w:val="61CF6616"/>
    <w:rsid w:val="61D1585B"/>
    <w:rsid w:val="625E2340"/>
    <w:rsid w:val="6278357C"/>
    <w:rsid w:val="62876BE2"/>
    <w:rsid w:val="62EA28AE"/>
    <w:rsid w:val="63276A66"/>
    <w:rsid w:val="633C2C19"/>
    <w:rsid w:val="635F6FA8"/>
    <w:rsid w:val="6368161A"/>
    <w:rsid w:val="637659E0"/>
    <w:rsid w:val="637D1EA0"/>
    <w:rsid w:val="63BF19C2"/>
    <w:rsid w:val="63E03DFC"/>
    <w:rsid w:val="63E774B3"/>
    <w:rsid w:val="63FF29DD"/>
    <w:rsid w:val="64782E59"/>
    <w:rsid w:val="64986CD0"/>
    <w:rsid w:val="64C10C39"/>
    <w:rsid w:val="64DF1E3C"/>
    <w:rsid w:val="64E236E0"/>
    <w:rsid w:val="65214833"/>
    <w:rsid w:val="654D0E8F"/>
    <w:rsid w:val="65647182"/>
    <w:rsid w:val="65675C64"/>
    <w:rsid w:val="65BC4595"/>
    <w:rsid w:val="65DD43D2"/>
    <w:rsid w:val="65FE6474"/>
    <w:rsid w:val="66290A2D"/>
    <w:rsid w:val="662A0F57"/>
    <w:rsid w:val="666616CE"/>
    <w:rsid w:val="668707E4"/>
    <w:rsid w:val="66BA3385"/>
    <w:rsid w:val="66CC1E02"/>
    <w:rsid w:val="66EE7282"/>
    <w:rsid w:val="670623AA"/>
    <w:rsid w:val="671B256D"/>
    <w:rsid w:val="673D4B25"/>
    <w:rsid w:val="676D38E5"/>
    <w:rsid w:val="676E75FA"/>
    <w:rsid w:val="67900C43"/>
    <w:rsid w:val="67AE683A"/>
    <w:rsid w:val="67D45F49"/>
    <w:rsid w:val="67EA4FD2"/>
    <w:rsid w:val="682F74A1"/>
    <w:rsid w:val="68596C20"/>
    <w:rsid w:val="686F37B7"/>
    <w:rsid w:val="687D3A85"/>
    <w:rsid w:val="688C525E"/>
    <w:rsid w:val="68AD79D0"/>
    <w:rsid w:val="68E53B6A"/>
    <w:rsid w:val="69150B1C"/>
    <w:rsid w:val="69350B72"/>
    <w:rsid w:val="697B1552"/>
    <w:rsid w:val="698663E6"/>
    <w:rsid w:val="699E37A8"/>
    <w:rsid w:val="6A082582"/>
    <w:rsid w:val="6A111111"/>
    <w:rsid w:val="6A301DBC"/>
    <w:rsid w:val="6A3376E1"/>
    <w:rsid w:val="6A6166C8"/>
    <w:rsid w:val="6A6303D5"/>
    <w:rsid w:val="6A6E4CDC"/>
    <w:rsid w:val="6AA32D68"/>
    <w:rsid w:val="6AA547B2"/>
    <w:rsid w:val="6AAF4C06"/>
    <w:rsid w:val="6AC84440"/>
    <w:rsid w:val="6AE26CE1"/>
    <w:rsid w:val="6AF92DEE"/>
    <w:rsid w:val="6B4F4F20"/>
    <w:rsid w:val="6B560547"/>
    <w:rsid w:val="6B583663"/>
    <w:rsid w:val="6B756415"/>
    <w:rsid w:val="6B776617"/>
    <w:rsid w:val="6B820E1B"/>
    <w:rsid w:val="6BA95572"/>
    <w:rsid w:val="6BC466F1"/>
    <w:rsid w:val="6C0811F5"/>
    <w:rsid w:val="6C240882"/>
    <w:rsid w:val="6C4E35D6"/>
    <w:rsid w:val="6C7C567D"/>
    <w:rsid w:val="6CA76AFA"/>
    <w:rsid w:val="6CB158A4"/>
    <w:rsid w:val="6CFD313E"/>
    <w:rsid w:val="6CFF43D5"/>
    <w:rsid w:val="6D3870B9"/>
    <w:rsid w:val="6D806AEE"/>
    <w:rsid w:val="6D9C652E"/>
    <w:rsid w:val="6E234B16"/>
    <w:rsid w:val="6E262DAB"/>
    <w:rsid w:val="6E7013E1"/>
    <w:rsid w:val="6E8669DE"/>
    <w:rsid w:val="6EB11A50"/>
    <w:rsid w:val="6EC440C8"/>
    <w:rsid w:val="6EEA1072"/>
    <w:rsid w:val="6F1E2FBC"/>
    <w:rsid w:val="6F254D77"/>
    <w:rsid w:val="6F68563F"/>
    <w:rsid w:val="6F963F3C"/>
    <w:rsid w:val="6FB955B9"/>
    <w:rsid w:val="702B6EF8"/>
    <w:rsid w:val="7047304A"/>
    <w:rsid w:val="70702FEB"/>
    <w:rsid w:val="709B50B2"/>
    <w:rsid w:val="70DA5159"/>
    <w:rsid w:val="70EA139D"/>
    <w:rsid w:val="71075E74"/>
    <w:rsid w:val="71165E20"/>
    <w:rsid w:val="714C7830"/>
    <w:rsid w:val="71571A71"/>
    <w:rsid w:val="715D5EA2"/>
    <w:rsid w:val="7162327E"/>
    <w:rsid w:val="719D0D8F"/>
    <w:rsid w:val="71AD6D6C"/>
    <w:rsid w:val="71B10135"/>
    <w:rsid w:val="71D123D0"/>
    <w:rsid w:val="71D45A26"/>
    <w:rsid w:val="71F63778"/>
    <w:rsid w:val="721C2536"/>
    <w:rsid w:val="728675BF"/>
    <w:rsid w:val="729453C6"/>
    <w:rsid w:val="72BB4629"/>
    <w:rsid w:val="72FB155B"/>
    <w:rsid w:val="72FD629E"/>
    <w:rsid w:val="73423F97"/>
    <w:rsid w:val="73522BD0"/>
    <w:rsid w:val="73BE7A93"/>
    <w:rsid w:val="73E642CC"/>
    <w:rsid w:val="74054D56"/>
    <w:rsid w:val="74110AF9"/>
    <w:rsid w:val="742C062C"/>
    <w:rsid w:val="74550DF5"/>
    <w:rsid w:val="74565090"/>
    <w:rsid w:val="746D29BB"/>
    <w:rsid w:val="74A86462"/>
    <w:rsid w:val="74BA3872"/>
    <w:rsid w:val="74C35F7B"/>
    <w:rsid w:val="74D737EE"/>
    <w:rsid w:val="753612B2"/>
    <w:rsid w:val="7555395A"/>
    <w:rsid w:val="75A57130"/>
    <w:rsid w:val="75AB59EA"/>
    <w:rsid w:val="75CD7C01"/>
    <w:rsid w:val="75D059A0"/>
    <w:rsid w:val="75D27185"/>
    <w:rsid w:val="762921E8"/>
    <w:rsid w:val="76447FE9"/>
    <w:rsid w:val="76451F34"/>
    <w:rsid w:val="76464391"/>
    <w:rsid w:val="7687076E"/>
    <w:rsid w:val="769A4D2B"/>
    <w:rsid w:val="769B2E52"/>
    <w:rsid w:val="769E18E0"/>
    <w:rsid w:val="76CF2DC9"/>
    <w:rsid w:val="77097EA5"/>
    <w:rsid w:val="774905D7"/>
    <w:rsid w:val="774F516E"/>
    <w:rsid w:val="779973EF"/>
    <w:rsid w:val="77C25EEE"/>
    <w:rsid w:val="77D86EA2"/>
    <w:rsid w:val="78006CAC"/>
    <w:rsid w:val="78093313"/>
    <w:rsid w:val="7822706F"/>
    <w:rsid w:val="784259B3"/>
    <w:rsid w:val="78541E13"/>
    <w:rsid w:val="787B545C"/>
    <w:rsid w:val="78C12829"/>
    <w:rsid w:val="78F5179B"/>
    <w:rsid w:val="793B71BB"/>
    <w:rsid w:val="79741CDE"/>
    <w:rsid w:val="799B54AC"/>
    <w:rsid w:val="79CD4D19"/>
    <w:rsid w:val="79F32BA1"/>
    <w:rsid w:val="79F604BE"/>
    <w:rsid w:val="7A172707"/>
    <w:rsid w:val="7A342155"/>
    <w:rsid w:val="7A42129E"/>
    <w:rsid w:val="7A7D2D4F"/>
    <w:rsid w:val="7A95549C"/>
    <w:rsid w:val="7B357174"/>
    <w:rsid w:val="7B490747"/>
    <w:rsid w:val="7B561E8A"/>
    <w:rsid w:val="7B6956C9"/>
    <w:rsid w:val="7BD84BF7"/>
    <w:rsid w:val="7C110EE9"/>
    <w:rsid w:val="7C3E6D66"/>
    <w:rsid w:val="7C400ABE"/>
    <w:rsid w:val="7C8A1D77"/>
    <w:rsid w:val="7C916548"/>
    <w:rsid w:val="7CC62150"/>
    <w:rsid w:val="7CC7688D"/>
    <w:rsid w:val="7CDD5E30"/>
    <w:rsid w:val="7D382F0F"/>
    <w:rsid w:val="7DC26463"/>
    <w:rsid w:val="7DCD4350"/>
    <w:rsid w:val="7DEE2A66"/>
    <w:rsid w:val="7E334AAB"/>
    <w:rsid w:val="7E3E1DC7"/>
    <w:rsid w:val="7E846254"/>
    <w:rsid w:val="7EAA463F"/>
    <w:rsid w:val="7EAE2F3D"/>
    <w:rsid w:val="7F0137AF"/>
    <w:rsid w:val="7F262B05"/>
    <w:rsid w:val="7F2807FD"/>
    <w:rsid w:val="7F4F0CFE"/>
    <w:rsid w:val="7F731BDB"/>
    <w:rsid w:val="7F932F72"/>
    <w:rsid w:val="7F970792"/>
    <w:rsid w:val="7FBE15B4"/>
    <w:rsid w:val="7FE40CF4"/>
    <w:rsid w:val="7FE6111F"/>
    <w:rsid w:val="7FFD67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0" w:semiHidden="0"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ocked="1"/>
    <w:lsdException w:qFormat="1"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0"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qFormat="1"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0" w:semiHidden="0" w:name="Body Text 3" w:locked="1"/>
    <w:lsdException w:qFormat="1" w:uiPriority="99" w:semiHidden="0" w:name="Body Text Indent 2" w:locked="1"/>
    <w:lsdException w:uiPriority="99" w:name="Body Text Indent 3" w:locked="1"/>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ocked="1"/>
    <w:lsdException w:uiPriority="99" w:name="E-mail Signature" w:locked="1"/>
    <w:lsdException w:qFormat="1" w:unhideWhenUsed="0" w:uiPriority="0" w:semiHidden="0" w:name="Normal (Web)"/>
    <w:lsdException w:qFormat="1" w:uiPriority="99" w:semiHidden="0" w:name="HTML Acronym" w:locked="1"/>
    <w:lsdException w:uiPriority="99"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iPriority="99" w:semiHidden="0" w:name="HTML Keyboard" w:locked="1"/>
    <w:lsdException w:qFormat="1" w:unhideWhenUsed="0" w:uiPriority="0" w:semiHidden="0" w:name="HTML Preformatted" w:locked="1"/>
    <w:lsdException w:qFormat="1" w:uiPriority="99" w:semiHidden="0" w:name="HTML Sample" w:locked="1"/>
    <w:lsdException w:qFormat="1" w:uiPriority="99" w:semiHidden="0" w:name="HTML Typewriter" w:locked="1"/>
    <w:lsdException w:qFormat="1" w:unhideWhenUsed="0"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4"/>
    <w:qFormat/>
    <w:uiPriority w:val="99"/>
    <w:pPr>
      <w:keepNext/>
      <w:keepLines/>
      <w:spacing w:before="340" w:after="330" w:line="576" w:lineRule="auto"/>
      <w:outlineLvl w:val="0"/>
    </w:pPr>
    <w:rPr>
      <w:rFonts w:ascii="宋体" w:hAnsi="宋体" w:cs="Times New Roman"/>
      <w:b/>
      <w:bCs/>
      <w:kern w:val="44"/>
      <w:sz w:val="44"/>
      <w:szCs w:val="44"/>
    </w:rPr>
  </w:style>
  <w:style w:type="paragraph" w:styleId="4">
    <w:name w:val="heading 2"/>
    <w:basedOn w:val="1"/>
    <w:next w:val="1"/>
    <w:link w:val="45"/>
    <w:qFormat/>
    <w:uiPriority w:val="99"/>
    <w:pPr>
      <w:keepNext/>
      <w:keepLines/>
      <w:spacing w:before="260" w:after="260" w:line="415" w:lineRule="auto"/>
      <w:outlineLvl w:val="1"/>
    </w:pPr>
    <w:rPr>
      <w:rFonts w:ascii="Cambria" w:hAnsi="Cambria" w:cs="Times New Roman"/>
      <w:b/>
      <w:bCs/>
      <w:kern w:val="0"/>
      <w:sz w:val="32"/>
      <w:szCs w:val="32"/>
    </w:rPr>
  </w:style>
  <w:style w:type="paragraph" w:styleId="5">
    <w:name w:val="heading 3"/>
    <w:basedOn w:val="1"/>
    <w:next w:val="1"/>
    <w:link w:val="46"/>
    <w:qFormat/>
    <w:uiPriority w:val="99"/>
    <w:pPr>
      <w:keepNext/>
      <w:keepLines/>
      <w:spacing w:before="260" w:after="260" w:line="415" w:lineRule="auto"/>
      <w:outlineLvl w:val="2"/>
    </w:pPr>
    <w:rPr>
      <w:rFonts w:ascii="Times New Roman" w:hAnsi="Times New Roman" w:cs="Times New Roman"/>
      <w:b/>
      <w:bCs/>
      <w:kern w:val="0"/>
      <w:sz w:val="32"/>
      <w:szCs w:val="32"/>
    </w:rPr>
  </w:style>
  <w:style w:type="paragraph" w:styleId="6">
    <w:name w:val="heading 4"/>
    <w:basedOn w:val="1"/>
    <w:next w:val="1"/>
    <w:link w:val="47"/>
    <w:qFormat/>
    <w:uiPriority w:val="99"/>
    <w:pPr>
      <w:keepNext/>
      <w:keepLines/>
      <w:spacing w:before="280" w:after="290" w:line="374" w:lineRule="auto"/>
      <w:outlineLvl w:val="3"/>
    </w:pPr>
    <w:rPr>
      <w:rFonts w:ascii="Cambria" w:hAnsi="Cambria" w:cs="Times New Roman"/>
      <w:b/>
      <w:bCs/>
      <w:kern w:val="0"/>
      <w:sz w:val="28"/>
      <w:szCs w:val="28"/>
    </w:rPr>
  </w:style>
  <w:style w:type="paragraph" w:styleId="7">
    <w:name w:val="heading 6"/>
    <w:basedOn w:val="1"/>
    <w:next w:val="1"/>
    <w:qFormat/>
    <w:locked/>
    <w:uiPriority w:val="0"/>
    <w:pPr>
      <w:keepNext/>
      <w:keepLines/>
      <w:spacing w:before="240" w:after="64" w:line="320" w:lineRule="auto"/>
      <w:outlineLvl w:val="5"/>
    </w:pPr>
    <w:rPr>
      <w:rFonts w:ascii="Arial" w:hAnsi="Arial" w:eastAsia="黑体"/>
      <w:b/>
      <w:bCs/>
      <w:sz w:val="24"/>
      <w:szCs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8">
    <w:name w:val="Normal Indent"/>
    <w:basedOn w:val="1"/>
    <w:next w:val="1"/>
    <w:qFormat/>
    <w:uiPriority w:val="99"/>
    <w:pPr>
      <w:ind w:firstLine="200" w:firstLineChars="200"/>
    </w:pPr>
  </w:style>
  <w:style w:type="paragraph" w:styleId="9">
    <w:name w:val="Body Text 3"/>
    <w:basedOn w:val="1"/>
    <w:qFormat/>
    <w:locked/>
    <w:uiPriority w:val="0"/>
    <w:pPr>
      <w:spacing w:after="120"/>
    </w:pPr>
    <w:rPr>
      <w:sz w:val="16"/>
      <w:szCs w:val="16"/>
    </w:rPr>
  </w:style>
  <w:style w:type="paragraph" w:styleId="10">
    <w:name w:val="Body Text Indent"/>
    <w:basedOn w:val="1"/>
    <w:next w:val="11"/>
    <w:link w:val="48"/>
    <w:qFormat/>
    <w:uiPriority w:val="99"/>
    <w:pPr>
      <w:spacing w:after="120"/>
      <w:ind w:left="200" w:leftChars="200"/>
    </w:pPr>
    <w:rPr>
      <w:rFonts w:cs="Times New Roman"/>
      <w:kern w:val="0"/>
    </w:rPr>
  </w:style>
  <w:style w:type="paragraph" w:styleId="11">
    <w:name w:val="envelope return"/>
    <w:basedOn w:val="1"/>
    <w:unhideWhenUsed/>
    <w:qFormat/>
    <w:locked/>
    <w:uiPriority w:val="99"/>
    <w:pPr>
      <w:snapToGrid w:val="0"/>
    </w:pPr>
    <w:rPr>
      <w:rFonts w:ascii="Arial" w:hAnsi="Arial"/>
    </w:rPr>
  </w:style>
  <w:style w:type="paragraph" w:styleId="12">
    <w:name w:val="Block Text"/>
    <w:basedOn w:val="1"/>
    <w:qFormat/>
    <w:uiPriority w:val="99"/>
    <w:pPr>
      <w:adjustRightInd w:val="0"/>
      <w:ind w:left="420" w:right="33"/>
      <w:jc w:val="left"/>
    </w:pPr>
    <w:rPr>
      <w:kern w:val="0"/>
      <w:sz w:val="24"/>
      <w:szCs w:val="24"/>
    </w:rPr>
  </w:style>
  <w:style w:type="paragraph" w:styleId="13">
    <w:name w:val="toc 3"/>
    <w:basedOn w:val="1"/>
    <w:next w:val="1"/>
    <w:semiHidden/>
    <w:qFormat/>
    <w:locked/>
    <w:uiPriority w:val="99"/>
    <w:pPr>
      <w:ind w:left="840" w:leftChars="400"/>
    </w:pPr>
  </w:style>
  <w:style w:type="paragraph" w:styleId="14">
    <w:name w:val="Plain Text"/>
    <w:basedOn w:val="1"/>
    <w:link w:val="49"/>
    <w:qFormat/>
    <w:locked/>
    <w:uiPriority w:val="99"/>
    <w:rPr>
      <w:rFonts w:ascii="宋体" w:hAnsi="Courier New" w:cs="Times New Roman"/>
      <w:kern w:val="0"/>
    </w:rPr>
  </w:style>
  <w:style w:type="paragraph" w:styleId="15">
    <w:name w:val="Body Text Indent 2"/>
    <w:basedOn w:val="1"/>
    <w:link w:val="50"/>
    <w:unhideWhenUsed/>
    <w:qFormat/>
    <w:locked/>
    <w:uiPriority w:val="99"/>
    <w:pPr>
      <w:spacing w:after="120" w:line="480" w:lineRule="auto"/>
      <w:ind w:left="420" w:leftChars="200"/>
    </w:pPr>
  </w:style>
  <w:style w:type="paragraph" w:styleId="16">
    <w:name w:val="Balloon Text"/>
    <w:basedOn w:val="1"/>
    <w:link w:val="51"/>
    <w:unhideWhenUsed/>
    <w:qFormat/>
    <w:locked/>
    <w:uiPriority w:val="99"/>
    <w:rPr>
      <w:rFonts w:cs="Times New Roman"/>
      <w:sz w:val="18"/>
      <w:szCs w:val="18"/>
    </w:rPr>
  </w:style>
  <w:style w:type="paragraph" w:styleId="17">
    <w:name w:val="footer"/>
    <w:basedOn w:val="1"/>
    <w:link w:val="52"/>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8">
    <w:name w:val="header"/>
    <w:basedOn w:val="1"/>
    <w:link w:val="53"/>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9">
    <w:name w:val="toc 1"/>
    <w:basedOn w:val="1"/>
    <w:next w:val="1"/>
    <w:semiHidden/>
    <w:qFormat/>
    <w:uiPriority w:val="99"/>
  </w:style>
  <w:style w:type="paragraph" w:styleId="20">
    <w:name w:val="index heading"/>
    <w:basedOn w:val="1"/>
    <w:next w:val="21"/>
    <w:semiHidden/>
    <w:qFormat/>
    <w:uiPriority w:val="99"/>
  </w:style>
  <w:style w:type="paragraph" w:styleId="21">
    <w:name w:val="index 1"/>
    <w:basedOn w:val="1"/>
    <w:next w:val="1"/>
    <w:semiHidden/>
    <w:qFormat/>
    <w:uiPriority w:val="99"/>
    <w:rPr>
      <w:rFonts w:ascii="宋体" w:cs="宋体"/>
      <w:b/>
      <w:bCs/>
    </w:rPr>
  </w:style>
  <w:style w:type="paragraph" w:styleId="22">
    <w:name w:val="toc 2"/>
    <w:basedOn w:val="1"/>
    <w:next w:val="1"/>
    <w:semiHidden/>
    <w:qFormat/>
    <w:locked/>
    <w:uiPriority w:val="99"/>
    <w:pPr>
      <w:ind w:left="420" w:leftChars="200"/>
    </w:pPr>
  </w:style>
  <w:style w:type="paragraph" w:styleId="23">
    <w:name w:val="toc 9"/>
    <w:basedOn w:val="1"/>
    <w:next w:val="1"/>
    <w:semiHidden/>
    <w:qFormat/>
    <w:locked/>
    <w:uiPriority w:val="0"/>
    <w:pPr>
      <w:ind w:left="3360" w:leftChars="1600"/>
    </w:pPr>
  </w:style>
  <w:style w:type="paragraph" w:styleId="24">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0"/>
    <w:pPr>
      <w:spacing w:before="100" w:beforeAutospacing="1" w:after="75"/>
      <w:jc w:val="left"/>
    </w:pPr>
    <w:rPr>
      <w:kern w:val="0"/>
      <w:sz w:val="24"/>
      <w:szCs w:val="24"/>
    </w:rPr>
  </w:style>
  <w:style w:type="paragraph" w:styleId="26">
    <w:name w:val="Title"/>
    <w:basedOn w:val="1"/>
    <w:qFormat/>
    <w:locked/>
    <w:uiPriority w:val="0"/>
    <w:pPr>
      <w:spacing w:before="240" w:after="60"/>
      <w:jc w:val="center"/>
      <w:outlineLvl w:val="0"/>
    </w:pPr>
    <w:rPr>
      <w:rFonts w:ascii="Arial" w:hAnsi="Arial" w:cs="Arial"/>
      <w:b/>
      <w:bCs/>
      <w:sz w:val="32"/>
      <w:szCs w:val="32"/>
    </w:rPr>
  </w:style>
  <w:style w:type="paragraph" w:styleId="27">
    <w:name w:val="Body Text First Indent 2"/>
    <w:basedOn w:val="10"/>
    <w:unhideWhenUsed/>
    <w:qFormat/>
    <w:locked/>
    <w:uiPriority w:val="99"/>
    <w:pPr>
      <w:ind w:left="420" w:firstLine="420" w:firstLineChars="200"/>
    </w:pPr>
    <w:rPr>
      <w:rFonts w:ascii="Times New Roman" w:eastAsia="宋?"/>
    </w:rPr>
  </w:style>
  <w:style w:type="table" w:styleId="29">
    <w:name w:val="Table Grid"/>
    <w:basedOn w:val="2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locked/>
    <w:uiPriority w:val="99"/>
    <w:rPr>
      <w:rFonts w:cs="Times New Roman"/>
      <w:b/>
      <w:bCs/>
    </w:rPr>
  </w:style>
  <w:style w:type="character" w:styleId="32">
    <w:name w:val="page number"/>
    <w:qFormat/>
    <w:uiPriority w:val="99"/>
    <w:rPr>
      <w:rFonts w:cs="Times New Roman"/>
    </w:rPr>
  </w:style>
  <w:style w:type="character" w:styleId="33">
    <w:name w:val="FollowedHyperlink"/>
    <w:qFormat/>
    <w:uiPriority w:val="99"/>
    <w:rPr>
      <w:rFonts w:cs="Times New Roman"/>
      <w:color w:val="auto"/>
      <w:u w:val="none"/>
    </w:rPr>
  </w:style>
  <w:style w:type="character" w:styleId="34">
    <w:name w:val="Emphasis"/>
    <w:qFormat/>
    <w:locked/>
    <w:uiPriority w:val="99"/>
    <w:rPr>
      <w:rFonts w:cs="Times New Roman"/>
    </w:rPr>
  </w:style>
  <w:style w:type="character" w:styleId="35">
    <w:name w:val="HTML Definition"/>
    <w:qFormat/>
    <w:locked/>
    <w:uiPriority w:val="99"/>
    <w:rPr>
      <w:rFonts w:cs="Times New Roman"/>
    </w:rPr>
  </w:style>
  <w:style w:type="character" w:styleId="36">
    <w:name w:val="HTML Typewriter"/>
    <w:unhideWhenUsed/>
    <w:qFormat/>
    <w:locked/>
    <w:uiPriority w:val="99"/>
    <w:rPr>
      <w:rFonts w:hint="default" w:ascii="monospace" w:hAnsi="monospace" w:eastAsia="monospace" w:cs="monospace"/>
      <w:sz w:val="20"/>
    </w:rPr>
  </w:style>
  <w:style w:type="character" w:styleId="37">
    <w:name w:val="HTML Acronym"/>
    <w:basedOn w:val="30"/>
    <w:unhideWhenUsed/>
    <w:qFormat/>
    <w:locked/>
    <w:uiPriority w:val="99"/>
  </w:style>
  <w:style w:type="character" w:styleId="38">
    <w:name w:val="HTML Variable"/>
    <w:qFormat/>
    <w:locked/>
    <w:uiPriority w:val="99"/>
    <w:rPr>
      <w:rFonts w:cs="Times New Roman"/>
    </w:rPr>
  </w:style>
  <w:style w:type="character" w:styleId="39">
    <w:name w:val="Hyperlink"/>
    <w:qFormat/>
    <w:uiPriority w:val="99"/>
    <w:rPr>
      <w:rFonts w:cs="Times New Roman"/>
      <w:color w:val="auto"/>
      <w:u w:val="none"/>
    </w:rPr>
  </w:style>
  <w:style w:type="character" w:styleId="40">
    <w:name w:val="HTML Code"/>
    <w:qFormat/>
    <w:locked/>
    <w:uiPriority w:val="99"/>
    <w:rPr>
      <w:rFonts w:ascii="Courier New" w:hAnsi="Courier New" w:cs="Courier New"/>
      <w:sz w:val="20"/>
      <w:szCs w:val="20"/>
    </w:rPr>
  </w:style>
  <w:style w:type="character" w:styleId="41">
    <w:name w:val="HTML Cite"/>
    <w:qFormat/>
    <w:locked/>
    <w:uiPriority w:val="99"/>
    <w:rPr>
      <w:rFonts w:cs="Times New Roman"/>
    </w:rPr>
  </w:style>
  <w:style w:type="character" w:styleId="42">
    <w:name w:val="HTML Keyboard"/>
    <w:unhideWhenUsed/>
    <w:qFormat/>
    <w:locked/>
    <w:uiPriority w:val="99"/>
    <w:rPr>
      <w:rFonts w:hint="default" w:ascii="monospace" w:hAnsi="monospace" w:eastAsia="monospace" w:cs="monospace"/>
      <w:sz w:val="20"/>
    </w:rPr>
  </w:style>
  <w:style w:type="character" w:styleId="43">
    <w:name w:val="HTML Sample"/>
    <w:unhideWhenUsed/>
    <w:qFormat/>
    <w:locked/>
    <w:uiPriority w:val="99"/>
    <w:rPr>
      <w:rFonts w:hint="default" w:ascii="monospace" w:hAnsi="monospace" w:eastAsia="monospace" w:cs="monospace"/>
    </w:rPr>
  </w:style>
  <w:style w:type="character" w:customStyle="1" w:styleId="44">
    <w:name w:val="标题 1 Char"/>
    <w:link w:val="3"/>
    <w:qFormat/>
    <w:locked/>
    <w:uiPriority w:val="99"/>
    <w:rPr>
      <w:rFonts w:ascii="宋体" w:hAnsi="宋体" w:eastAsia="宋体" w:cs="宋体"/>
      <w:b/>
      <w:bCs/>
      <w:kern w:val="44"/>
      <w:sz w:val="44"/>
      <w:szCs w:val="44"/>
      <w:lang w:val="en-US" w:eastAsia="zh-CN"/>
    </w:rPr>
  </w:style>
  <w:style w:type="character" w:customStyle="1" w:styleId="45">
    <w:name w:val="标题 2 Char"/>
    <w:link w:val="4"/>
    <w:semiHidden/>
    <w:qFormat/>
    <w:locked/>
    <w:uiPriority w:val="99"/>
    <w:rPr>
      <w:rFonts w:ascii="Cambria" w:hAnsi="Cambria" w:eastAsia="宋体" w:cs="Cambria"/>
      <w:b/>
      <w:bCs/>
      <w:sz w:val="32"/>
      <w:szCs w:val="32"/>
    </w:rPr>
  </w:style>
  <w:style w:type="character" w:customStyle="1" w:styleId="46">
    <w:name w:val="标题 3 Char"/>
    <w:link w:val="5"/>
    <w:semiHidden/>
    <w:qFormat/>
    <w:locked/>
    <w:uiPriority w:val="99"/>
    <w:rPr>
      <w:rFonts w:ascii="Times New Roman" w:hAnsi="Times New Roman" w:cs="Times New Roman"/>
      <w:b/>
      <w:bCs/>
      <w:sz w:val="32"/>
      <w:szCs w:val="32"/>
    </w:rPr>
  </w:style>
  <w:style w:type="character" w:customStyle="1" w:styleId="47">
    <w:name w:val="标题 4 Char"/>
    <w:link w:val="6"/>
    <w:semiHidden/>
    <w:qFormat/>
    <w:locked/>
    <w:uiPriority w:val="99"/>
    <w:rPr>
      <w:rFonts w:ascii="Cambria" w:hAnsi="Cambria" w:eastAsia="宋体" w:cs="Cambria"/>
      <w:b/>
      <w:bCs/>
      <w:sz w:val="28"/>
      <w:szCs w:val="28"/>
    </w:rPr>
  </w:style>
  <w:style w:type="character" w:customStyle="1" w:styleId="48">
    <w:name w:val="正文文本缩进 Char"/>
    <w:link w:val="10"/>
    <w:semiHidden/>
    <w:qFormat/>
    <w:locked/>
    <w:uiPriority w:val="99"/>
    <w:rPr>
      <w:rFonts w:cs="Times New Roman"/>
      <w:sz w:val="21"/>
      <w:szCs w:val="21"/>
    </w:rPr>
  </w:style>
  <w:style w:type="character" w:customStyle="1" w:styleId="49">
    <w:name w:val="纯文本 Char"/>
    <w:link w:val="14"/>
    <w:semiHidden/>
    <w:qFormat/>
    <w:locked/>
    <w:uiPriority w:val="99"/>
    <w:rPr>
      <w:rFonts w:ascii="宋体" w:hAnsi="Courier New" w:cs="Courier New"/>
      <w:sz w:val="21"/>
      <w:szCs w:val="21"/>
    </w:rPr>
  </w:style>
  <w:style w:type="character" w:customStyle="1" w:styleId="50">
    <w:name w:val="正文文本缩进 2 Char"/>
    <w:link w:val="15"/>
    <w:semiHidden/>
    <w:qFormat/>
    <w:uiPriority w:val="99"/>
    <w:rPr>
      <w:kern w:val="2"/>
      <w:sz w:val="21"/>
      <w:szCs w:val="21"/>
    </w:rPr>
  </w:style>
  <w:style w:type="character" w:customStyle="1" w:styleId="51">
    <w:name w:val="批注框文本 Char"/>
    <w:link w:val="16"/>
    <w:semiHidden/>
    <w:qFormat/>
    <w:uiPriority w:val="99"/>
    <w:rPr>
      <w:kern w:val="2"/>
      <w:sz w:val="18"/>
      <w:szCs w:val="18"/>
    </w:rPr>
  </w:style>
  <w:style w:type="character" w:customStyle="1" w:styleId="52">
    <w:name w:val="页脚 Char"/>
    <w:link w:val="17"/>
    <w:semiHidden/>
    <w:qFormat/>
    <w:locked/>
    <w:uiPriority w:val="99"/>
    <w:rPr>
      <w:rFonts w:ascii="Times New Roman" w:hAnsi="Times New Roman" w:cs="Times New Roman"/>
      <w:sz w:val="18"/>
      <w:szCs w:val="18"/>
    </w:rPr>
  </w:style>
  <w:style w:type="character" w:customStyle="1" w:styleId="53">
    <w:name w:val="页眉 Char"/>
    <w:link w:val="18"/>
    <w:semiHidden/>
    <w:qFormat/>
    <w:locked/>
    <w:uiPriority w:val="99"/>
    <w:rPr>
      <w:rFonts w:ascii="Times New Roman" w:hAnsi="Times New Roman" w:cs="Times New Roman"/>
      <w:sz w:val="18"/>
      <w:szCs w:val="18"/>
    </w:rPr>
  </w:style>
  <w:style w:type="character" w:customStyle="1" w:styleId="54">
    <w:name w:val="label"/>
    <w:qFormat/>
    <w:uiPriority w:val="99"/>
    <w:rPr>
      <w:rFonts w:cs="Times New Roman"/>
      <w:color w:val="auto"/>
    </w:rPr>
  </w:style>
  <w:style w:type="character" w:customStyle="1" w:styleId="55">
    <w:name w:val="标题 4 Char Char2"/>
    <w:qFormat/>
    <w:uiPriority w:val="0"/>
    <w:rPr>
      <w:rFonts w:hint="default" w:ascii="Cambria" w:hAnsi="Cambria" w:eastAsia="宋体"/>
      <w:b/>
      <w:bCs/>
      <w:kern w:val="2"/>
      <w:sz w:val="28"/>
      <w:szCs w:val="28"/>
      <w:lang w:val="en-US" w:eastAsia="zh-CN" w:bidi="ar-SA"/>
    </w:rPr>
  </w:style>
  <w:style w:type="character" w:customStyle="1" w:styleId="56">
    <w:name w:val="Heading 1 Char"/>
    <w:qFormat/>
    <w:locked/>
    <w:uiPriority w:val="99"/>
    <w:rPr>
      <w:rFonts w:ascii="Times New Roman" w:hAnsi="Times New Roman" w:eastAsia="宋体" w:cs="Times New Roman"/>
      <w:b/>
      <w:bCs/>
      <w:kern w:val="44"/>
      <w:sz w:val="44"/>
      <w:szCs w:val="44"/>
    </w:rPr>
  </w:style>
  <w:style w:type="character" w:customStyle="1" w:styleId="57">
    <w:name w:val="Page Number1"/>
    <w:qFormat/>
    <w:uiPriority w:val="99"/>
    <w:rPr>
      <w:rFonts w:cs="Times New Roman"/>
    </w:rPr>
  </w:style>
  <w:style w:type="character" w:customStyle="1" w:styleId="58">
    <w:name w:val="新正文 Char"/>
    <w:link w:val="59"/>
    <w:qFormat/>
    <w:locked/>
    <w:uiPriority w:val="0"/>
    <w:rPr>
      <w:rFonts w:ascii="宋体" w:hAnsi="宋体" w:eastAsia="Times New Roman" w:cs="宋体"/>
      <w:color w:val="000000"/>
      <w:sz w:val="21"/>
      <w:szCs w:val="21"/>
      <w:shd w:val="clear" w:color="auto" w:fill="FFFFFF"/>
      <w:lang w:val="en-US" w:eastAsia="zh-CN" w:bidi="ar-SA"/>
    </w:rPr>
  </w:style>
  <w:style w:type="paragraph" w:customStyle="1" w:styleId="59">
    <w:name w:val="新正文"/>
    <w:link w:val="58"/>
    <w:qFormat/>
    <w:uiPriority w:val="0"/>
    <w:pPr>
      <w:shd w:val="clear" w:color="auto" w:fill="FFFFFF"/>
      <w:spacing w:line="360" w:lineRule="auto"/>
      <w:ind w:firstLine="200" w:firstLineChars="200"/>
    </w:pPr>
    <w:rPr>
      <w:rFonts w:ascii="宋体" w:hAnsi="宋体" w:eastAsia="Times New Roman" w:cs="宋体"/>
      <w:color w:val="000000"/>
      <w:sz w:val="21"/>
      <w:szCs w:val="21"/>
      <w:lang w:val="en-US" w:eastAsia="zh-CN" w:bidi="ar-SA"/>
    </w:rPr>
  </w:style>
  <w:style w:type="character" w:customStyle="1" w:styleId="60">
    <w:name w:val="modifier"/>
    <w:qFormat/>
    <w:uiPriority w:val="99"/>
    <w:rPr>
      <w:rFonts w:cs="Times New Roman"/>
      <w:color w:val="FF0000"/>
    </w:rPr>
  </w:style>
  <w:style w:type="paragraph" w:customStyle="1" w:styleId="61">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62">
    <w:name w:val="纯文本1"/>
    <w:basedOn w:val="1"/>
    <w:qFormat/>
    <w:uiPriority w:val="99"/>
    <w:rPr>
      <w:rFonts w:ascii="Courier New" w:hAnsi="Courier New" w:cs="Courier New"/>
      <w:sz w:val="20"/>
      <w:szCs w:val="20"/>
    </w:rPr>
  </w:style>
  <w:style w:type="paragraph" w:customStyle="1" w:styleId="63">
    <w:name w:val="p15"/>
    <w:basedOn w:val="1"/>
    <w:qFormat/>
    <w:uiPriority w:val="99"/>
    <w:pPr>
      <w:widowControl/>
    </w:pPr>
    <w:rPr>
      <w:kern w:val="0"/>
    </w:rPr>
  </w:style>
  <w:style w:type="paragraph" w:customStyle="1" w:styleId="64">
    <w:name w:val="Normal Indent1"/>
    <w:basedOn w:val="1"/>
    <w:qFormat/>
    <w:uiPriority w:val="99"/>
    <w:pPr>
      <w:ind w:firstLine="200" w:firstLineChars="200"/>
    </w:pPr>
  </w:style>
  <w:style w:type="paragraph" w:customStyle="1" w:styleId="65">
    <w:name w:val="列出段落"/>
    <w:basedOn w:val="1"/>
    <w:qFormat/>
    <w:uiPriority w:val="99"/>
    <w:pPr>
      <w:widowControl/>
      <w:adjustRightInd w:val="0"/>
      <w:snapToGrid w:val="0"/>
      <w:spacing w:after="200"/>
      <w:ind w:firstLine="420" w:firstLineChars="200"/>
      <w:jc w:val="left"/>
    </w:pPr>
    <w:rPr>
      <w:rFonts w:ascii="Tahoma" w:hAnsi="Tahoma" w:cs="Tahoma"/>
      <w:kern w:val="0"/>
      <w:sz w:val="22"/>
      <w:szCs w:val="22"/>
    </w:rPr>
  </w:style>
  <w:style w:type="paragraph" w:customStyle="1" w:styleId="66">
    <w:name w:val="Salutation1"/>
    <w:basedOn w:val="1"/>
    <w:next w:val="1"/>
    <w:qFormat/>
    <w:uiPriority w:val="99"/>
    <w:rPr>
      <w:rFonts w:ascii="??_GB2312" w:eastAsia="Times New Roman" w:cs="??_GB2312"/>
      <w:sz w:val="20"/>
      <w:szCs w:val="20"/>
    </w:rPr>
  </w:style>
  <w:style w:type="paragraph" w:customStyle="1" w:styleId="67">
    <w:name w:val="p0"/>
    <w:basedOn w:val="1"/>
    <w:qFormat/>
    <w:uiPriority w:val="99"/>
    <w:pPr>
      <w:widowControl/>
    </w:pPr>
    <w:rPr>
      <w:kern w:val="0"/>
    </w:rPr>
  </w:style>
  <w:style w:type="paragraph" w:customStyle="1" w:styleId="68">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sz w:val="28"/>
      <w:szCs w:val="28"/>
    </w:rPr>
  </w:style>
  <w:style w:type="paragraph" w:customStyle="1" w:styleId="69">
    <w:name w:val="列出段落1"/>
    <w:basedOn w:val="1"/>
    <w:qFormat/>
    <w:uiPriority w:val="99"/>
    <w:pPr>
      <w:widowControl/>
      <w:adjustRightInd w:val="0"/>
      <w:snapToGrid w:val="0"/>
      <w:spacing w:after="200"/>
      <w:ind w:firstLine="420" w:firstLineChars="200"/>
      <w:jc w:val="left"/>
    </w:pPr>
    <w:rPr>
      <w:rFonts w:ascii="Tahoma" w:hAnsi="Tahoma" w:cs="Tahoma"/>
      <w:kern w:val="0"/>
      <w:sz w:val="22"/>
      <w:szCs w:val="22"/>
    </w:rPr>
  </w:style>
  <w:style w:type="paragraph" w:customStyle="1" w:styleId="7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37</Pages>
  <Words>15674</Words>
  <Characters>16802</Characters>
  <Lines>160</Lines>
  <Paragraphs>45</Paragraphs>
  <TotalTime>7</TotalTime>
  <ScaleCrop>false</ScaleCrop>
  <LinksUpToDate>false</LinksUpToDate>
  <CharactersWithSpaces>18302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2018-11-20T03:38:00Z</dcterms:created>
  <dc:creator>Administrator</dc:creator>
  <cp:lastModifiedBy>雨一直下</cp:lastModifiedBy>
  <cp:lastPrinted>2020-01-04T00:47:00Z</cp:lastPrinted>
  <dcterms:modified xsi:type="dcterms:W3CDTF">2023-06-14T07:23:33Z</dcterms:modified>
  <dc:title>阜阳市招投标监督管理局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CD2AC60969E540D7ABE619724090B5F3_13</vt:lpwstr>
  </property>
</Properties>
</file>